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8B" w:rsidRPr="00187E8B" w:rsidRDefault="00187E8B" w:rsidP="001C1C66">
      <w:pPr>
        <w:spacing w:line="360" w:lineRule="auto"/>
        <w:rPr>
          <w:rFonts w:ascii="Arial" w:hAnsi="Arial" w:cs="Arial"/>
          <w:sz w:val="21"/>
          <w:szCs w:val="21"/>
        </w:rPr>
      </w:pPr>
    </w:p>
    <w:p w:rsidR="007D04EE" w:rsidRPr="007D04EE" w:rsidRDefault="007D04EE" w:rsidP="007D04EE">
      <w:pPr>
        <w:rPr>
          <w:rFonts w:ascii="Arial" w:eastAsia="Calibri" w:hAnsi="Arial" w:cs="Arial"/>
          <w:sz w:val="36"/>
          <w:szCs w:val="36"/>
        </w:rPr>
      </w:pPr>
    </w:p>
    <w:p w:rsidR="007D04EE" w:rsidRPr="007D04EE" w:rsidRDefault="007D04EE" w:rsidP="007D04EE">
      <w:pPr>
        <w:jc w:val="center"/>
        <w:rPr>
          <w:rFonts w:ascii="Arial" w:eastAsia="Calibri" w:hAnsi="Arial" w:cs="Arial"/>
          <w:b/>
          <w:sz w:val="36"/>
          <w:szCs w:val="36"/>
        </w:rPr>
      </w:pPr>
      <w:r w:rsidRPr="007D04EE">
        <w:rPr>
          <w:rFonts w:ascii="Arial" w:eastAsia="Calibri" w:hAnsi="Arial" w:cs="Arial"/>
          <w:b/>
          <w:sz w:val="36"/>
          <w:szCs w:val="36"/>
        </w:rPr>
        <w:t xml:space="preserve">MANAGEMENT REPORT </w:t>
      </w:r>
    </w:p>
    <w:p w:rsidR="007D04EE" w:rsidRPr="007D04EE" w:rsidRDefault="007D04EE" w:rsidP="007D04EE">
      <w:pPr>
        <w:jc w:val="center"/>
        <w:rPr>
          <w:rFonts w:ascii="Arial" w:eastAsia="Calibri" w:hAnsi="Arial" w:cs="Arial"/>
          <w:b/>
          <w:sz w:val="36"/>
          <w:szCs w:val="36"/>
        </w:rPr>
      </w:pPr>
      <w:r w:rsidRPr="007D04EE">
        <w:rPr>
          <w:rFonts w:ascii="Arial" w:eastAsia="Calibri" w:hAnsi="Arial" w:cs="Arial"/>
          <w:b/>
          <w:sz w:val="36"/>
          <w:szCs w:val="36"/>
        </w:rPr>
        <w:t xml:space="preserve">ON </w:t>
      </w:r>
    </w:p>
    <w:p w:rsidR="00F0225F" w:rsidRDefault="00F4660E" w:rsidP="00F4660E">
      <w:pPr>
        <w:ind w:firstLine="720"/>
        <w:jc w:val="center"/>
        <w:rPr>
          <w:rFonts w:ascii="Arial" w:eastAsia="Calibri" w:hAnsi="Arial" w:cs="Arial"/>
          <w:b/>
          <w:sz w:val="36"/>
          <w:szCs w:val="36"/>
        </w:rPr>
      </w:pPr>
      <w:r>
        <w:rPr>
          <w:rFonts w:ascii="Arial" w:eastAsia="Calibri" w:hAnsi="Arial" w:cs="Arial"/>
          <w:b/>
          <w:sz w:val="36"/>
          <w:szCs w:val="36"/>
        </w:rPr>
        <w:t xml:space="preserve">QUARTER </w:t>
      </w:r>
      <w:r w:rsidR="000D188B">
        <w:rPr>
          <w:rFonts w:ascii="Arial" w:eastAsia="Calibri" w:hAnsi="Arial" w:cs="Arial"/>
          <w:b/>
          <w:sz w:val="36"/>
          <w:szCs w:val="36"/>
        </w:rPr>
        <w:t>2</w:t>
      </w:r>
      <w:r w:rsidR="007D04EE">
        <w:rPr>
          <w:rFonts w:ascii="Arial" w:eastAsia="Calibri" w:hAnsi="Arial" w:cs="Arial"/>
          <w:b/>
          <w:sz w:val="36"/>
          <w:szCs w:val="36"/>
        </w:rPr>
        <w:t xml:space="preserve"> </w:t>
      </w:r>
      <w:r w:rsidR="00F0225F">
        <w:rPr>
          <w:rFonts w:ascii="Arial" w:eastAsia="Calibri" w:hAnsi="Arial" w:cs="Arial"/>
          <w:b/>
          <w:sz w:val="36"/>
          <w:szCs w:val="36"/>
        </w:rPr>
        <w:t xml:space="preserve">and MIDYEAR </w:t>
      </w:r>
    </w:p>
    <w:p w:rsidR="007D04EE" w:rsidRPr="007D04EE" w:rsidRDefault="007D04EE" w:rsidP="00F4660E">
      <w:pPr>
        <w:ind w:firstLine="720"/>
        <w:jc w:val="center"/>
        <w:rPr>
          <w:rFonts w:ascii="Arial" w:eastAsia="Calibri" w:hAnsi="Arial" w:cs="Arial"/>
          <w:b/>
          <w:sz w:val="36"/>
          <w:szCs w:val="36"/>
        </w:rPr>
      </w:pPr>
      <w:r>
        <w:rPr>
          <w:rFonts w:ascii="Arial" w:eastAsia="Calibri" w:hAnsi="Arial" w:cs="Arial"/>
          <w:b/>
          <w:sz w:val="36"/>
          <w:szCs w:val="36"/>
        </w:rPr>
        <w:t>PERFORMANCE ASSESSMENT</w:t>
      </w:r>
    </w:p>
    <w:p w:rsidR="007D04EE" w:rsidRPr="007D04EE" w:rsidRDefault="005C45A4" w:rsidP="007D04EE">
      <w:pPr>
        <w:jc w:val="center"/>
        <w:rPr>
          <w:rFonts w:ascii="Arial" w:eastAsia="Calibri" w:hAnsi="Arial" w:cs="Arial"/>
          <w:b/>
          <w:sz w:val="36"/>
          <w:szCs w:val="36"/>
        </w:rPr>
      </w:pPr>
      <w:r>
        <w:rPr>
          <w:rFonts w:ascii="Arial" w:eastAsia="Calibri" w:hAnsi="Arial" w:cs="Arial"/>
          <w:b/>
          <w:sz w:val="36"/>
          <w:szCs w:val="36"/>
        </w:rPr>
        <w:t>ON</w:t>
      </w:r>
    </w:p>
    <w:p w:rsidR="007D04EE" w:rsidRPr="007D04EE" w:rsidRDefault="007D04EE" w:rsidP="007D04EE">
      <w:pPr>
        <w:jc w:val="center"/>
        <w:rPr>
          <w:rFonts w:ascii="Arial" w:eastAsia="Calibri" w:hAnsi="Arial" w:cs="Arial"/>
          <w:b/>
          <w:sz w:val="36"/>
          <w:szCs w:val="36"/>
        </w:rPr>
      </w:pPr>
      <w:r w:rsidRPr="007D04EE">
        <w:rPr>
          <w:rFonts w:ascii="Arial" w:eastAsia="Calibri" w:hAnsi="Arial" w:cs="Arial"/>
          <w:b/>
          <w:sz w:val="36"/>
          <w:szCs w:val="36"/>
        </w:rPr>
        <w:t xml:space="preserve">APPROVED ANNUAL PERFORMANCE PLAN </w:t>
      </w:r>
    </w:p>
    <w:p w:rsidR="007D04EE" w:rsidRPr="007D04EE" w:rsidRDefault="00F73624" w:rsidP="007D04EE">
      <w:pPr>
        <w:jc w:val="center"/>
        <w:rPr>
          <w:rFonts w:ascii="Arial" w:eastAsia="Calibri" w:hAnsi="Arial" w:cs="Arial"/>
          <w:b/>
          <w:sz w:val="36"/>
          <w:szCs w:val="36"/>
        </w:rPr>
      </w:pPr>
      <w:r>
        <w:rPr>
          <w:rFonts w:ascii="Arial" w:eastAsia="Calibri" w:hAnsi="Arial" w:cs="Arial"/>
          <w:b/>
          <w:sz w:val="36"/>
          <w:szCs w:val="36"/>
        </w:rPr>
        <w:t>2017-18</w:t>
      </w:r>
    </w:p>
    <w:p w:rsidR="007D04EE" w:rsidRPr="007D04EE" w:rsidRDefault="007D04EE" w:rsidP="007D04EE">
      <w:pPr>
        <w:jc w:val="center"/>
        <w:rPr>
          <w:rFonts w:ascii="Arial" w:eastAsia="Calibri" w:hAnsi="Arial" w:cs="Arial"/>
          <w:b/>
          <w:sz w:val="36"/>
          <w:szCs w:val="36"/>
        </w:rPr>
      </w:pPr>
    </w:p>
    <w:p w:rsidR="007D04EE" w:rsidRPr="007D04EE" w:rsidRDefault="007D04EE" w:rsidP="007D04EE">
      <w:pPr>
        <w:jc w:val="center"/>
        <w:rPr>
          <w:rFonts w:ascii="Arial" w:eastAsia="Calibri" w:hAnsi="Arial" w:cs="Arial"/>
          <w:b/>
          <w:sz w:val="36"/>
          <w:szCs w:val="36"/>
        </w:rPr>
      </w:pPr>
      <w:r w:rsidRPr="007D04EE">
        <w:rPr>
          <w:rFonts w:ascii="Arial" w:eastAsia="Calibri" w:hAnsi="Arial" w:cs="Arial"/>
          <w:b/>
          <w:noProof/>
          <w:sz w:val="36"/>
          <w:szCs w:val="36"/>
          <w:lang w:val="en-ZA" w:eastAsia="en-ZA"/>
        </w:rPr>
        <w:drawing>
          <wp:inline distT="0" distB="0" distL="0" distR="0" wp14:anchorId="59176CA2" wp14:editId="72AF60CF">
            <wp:extent cx="24072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1353185"/>
                    </a:xfrm>
                    <a:prstGeom prst="rect">
                      <a:avLst/>
                    </a:prstGeom>
                    <a:noFill/>
                  </pic:spPr>
                </pic:pic>
              </a:graphicData>
            </a:graphic>
          </wp:inline>
        </w:drawing>
      </w:r>
    </w:p>
    <w:p w:rsidR="007D04EE" w:rsidRPr="007D04EE" w:rsidRDefault="007D04EE" w:rsidP="007D04EE">
      <w:pPr>
        <w:jc w:val="center"/>
        <w:rPr>
          <w:rFonts w:ascii="Arial" w:eastAsia="Calibri" w:hAnsi="Arial" w:cs="Arial"/>
          <w:b/>
          <w:sz w:val="36"/>
          <w:szCs w:val="36"/>
        </w:rPr>
      </w:pPr>
    </w:p>
    <w:p w:rsidR="007D04EE" w:rsidRPr="007D04EE" w:rsidRDefault="007D04EE" w:rsidP="007D04EE">
      <w:pPr>
        <w:jc w:val="center"/>
        <w:rPr>
          <w:rFonts w:ascii="Arial" w:eastAsia="Calibri" w:hAnsi="Arial" w:cs="Arial"/>
          <w:b/>
          <w:sz w:val="36"/>
          <w:szCs w:val="36"/>
        </w:rPr>
      </w:pPr>
    </w:p>
    <w:p w:rsidR="00B54747" w:rsidRPr="007151B4" w:rsidRDefault="007D04EE" w:rsidP="007151B4">
      <w:pPr>
        <w:spacing w:after="160" w:line="259" w:lineRule="auto"/>
        <w:rPr>
          <w:rFonts w:ascii="Arial" w:eastAsia="Calibri" w:hAnsi="Arial" w:cs="Arial"/>
          <w:b/>
          <w:sz w:val="36"/>
          <w:szCs w:val="36"/>
        </w:rPr>
      </w:pPr>
      <w:r w:rsidRPr="007D04EE">
        <w:rPr>
          <w:rFonts w:ascii="Arial" w:eastAsia="Calibri" w:hAnsi="Arial" w:cs="Arial"/>
          <w:b/>
          <w:sz w:val="36"/>
          <w:szCs w:val="36"/>
        </w:rPr>
        <w:br w:type="page"/>
      </w:r>
    </w:p>
    <w:p w:rsidR="00313AD7" w:rsidRPr="00313AD7" w:rsidRDefault="00313AD7" w:rsidP="00313AD7">
      <w:pPr>
        <w:spacing w:line="360" w:lineRule="auto"/>
        <w:jc w:val="both"/>
        <w:rPr>
          <w:rFonts w:ascii="Arial" w:hAnsi="Arial" w:cs="Arial"/>
          <w:b/>
          <w:u w:val="single"/>
        </w:rPr>
      </w:pPr>
      <w:r w:rsidRPr="00313AD7">
        <w:rPr>
          <w:rFonts w:ascii="Arial" w:hAnsi="Arial" w:cs="Arial"/>
          <w:b/>
          <w:u w:val="single"/>
        </w:rPr>
        <w:lastRenderedPageBreak/>
        <w:t xml:space="preserve">Introduction: </w:t>
      </w:r>
    </w:p>
    <w:p w:rsidR="004F42D1" w:rsidRPr="00C7094F" w:rsidRDefault="004F42D1" w:rsidP="004F42D1">
      <w:pPr>
        <w:spacing w:line="360" w:lineRule="auto"/>
        <w:jc w:val="both"/>
        <w:rPr>
          <w:rFonts w:ascii="Arial" w:hAnsi="Arial" w:cs="Arial"/>
          <w:sz w:val="20"/>
          <w:szCs w:val="20"/>
        </w:rPr>
      </w:pPr>
      <w:r w:rsidRPr="00C7094F">
        <w:rPr>
          <w:rFonts w:ascii="Arial" w:hAnsi="Arial" w:cs="Arial"/>
          <w:sz w:val="20"/>
          <w:szCs w:val="20"/>
        </w:rPr>
        <w:t xml:space="preserve">The agency’s strategic objectives are aligned to the parent municipality’s IDP objectives.  These have been secured in a Service Level Agreement (SLA) between the agency and the CHDM for the year </w:t>
      </w:r>
      <w:r w:rsidR="00F73624">
        <w:rPr>
          <w:rFonts w:ascii="Arial" w:hAnsi="Arial" w:cs="Arial"/>
          <w:sz w:val="20"/>
          <w:szCs w:val="20"/>
        </w:rPr>
        <w:t>2017-2018</w:t>
      </w:r>
      <w:r w:rsidRPr="00C7094F">
        <w:rPr>
          <w:rFonts w:ascii="Arial" w:hAnsi="Arial" w:cs="Arial"/>
          <w:sz w:val="20"/>
          <w:szCs w:val="20"/>
        </w:rPr>
        <w:t>, and have served the basis of structuring the agency’s Annual Performance Plan (APP) for the year.</w:t>
      </w:r>
    </w:p>
    <w:p w:rsidR="00973B84" w:rsidRDefault="004F42D1" w:rsidP="004F42D1">
      <w:pPr>
        <w:spacing w:line="360" w:lineRule="auto"/>
        <w:jc w:val="both"/>
        <w:rPr>
          <w:rFonts w:ascii="Arial" w:hAnsi="Arial" w:cs="Arial"/>
          <w:sz w:val="20"/>
          <w:szCs w:val="20"/>
        </w:rPr>
      </w:pPr>
      <w:r w:rsidRPr="00C7094F">
        <w:rPr>
          <w:rFonts w:ascii="Arial" w:hAnsi="Arial" w:cs="Arial"/>
          <w:sz w:val="20"/>
          <w:szCs w:val="20"/>
        </w:rPr>
        <w:t xml:space="preserve">These overarching strategic </w:t>
      </w:r>
      <w:r w:rsidR="00F73624">
        <w:rPr>
          <w:rFonts w:ascii="Arial" w:hAnsi="Arial" w:cs="Arial"/>
          <w:sz w:val="20"/>
          <w:szCs w:val="20"/>
        </w:rPr>
        <w:t xml:space="preserve">goals for the year </w:t>
      </w:r>
      <w:r w:rsidRPr="00C7094F">
        <w:rPr>
          <w:rFonts w:ascii="Arial" w:hAnsi="Arial" w:cs="Arial"/>
          <w:sz w:val="20"/>
          <w:szCs w:val="20"/>
        </w:rPr>
        <w:t>are:</w:t>
      </w:r>
    </w:p>
    <w:p w:rsidR="00C31CB6" w:rsidRPr="00C31CB6" w:rsidRDefault="00C31CB6" w:rsidP="003D7B0D">
      <w:pPr>
        <w:pStyle w:val="ListParagraph"/>
        <w:numPr>
          <w:ilvl w:val="0"/>
          <w:numId w:val="14"/>
        </w:numPr>
        <w:spacing w:line="360" w:lineRule="auto"/>
        <w:ind w:left="567" w:hanging="567"/>
        <w:jc w:val="both"/>
        <w:rPr>
          <w:rFonts w:ascii="Arial" w:hAnsi="Arial" w:cs="Arial"/>
          <w:b/>
          <w:i/>
          <w:sz w:val="20"/>
          <w:szCs w:val="20"/>
        </w:rPr>
      </w:pPr>
      <w:r w:rsidRPr="00C31CB6">
        <w:rPr>
          <w:rFonts w:ascii="Arial" w:hAnsi="Arial" w:cs="Arial"/>
          <w:b/>
          <w:i/>
          <w:sz w:val="20"/>
          <w:szCs w:val="20"/>
        </w:rPr>
        <w:t>Creation of a viable and proficient organization</w:t>
      </w:r>
    </w:p>
    <w:p w:rsidR="00C31CB6" w:rsidRDefault="00C31CB6" w:rsidP="003D7B0D">
      <w:pPr>
        <w:pStyle w:val="ListParagraph"/>
        <w:numPr>
          <w:ilvl w:val="0"/>
          <w:numId w:val="14"/>
        </w:numPr>
        <w:spacing w:line="360" w:lineRule="auto"/>
        <w:ind w:left="567" w:hanging="567"/>
        <w:jc w:val="both"/>
        <w:rPr>
          <w:rFonts w:ascii="Arial" w:hAnsi="Arial" w:cs="Arial"/>
          <w:b/>
          <w:i/>
          <w:sz w:val="20"/>
          <w:szCs w:val="20"/>
        </w:rPr>
      </w:pPr>
      <w:r w:rsidRPr="00C31CB6">
        <w:rPr>
          <w:rFonts w:ascii="Arial" w:hAnsi="Arial" w:cs="Arial"/>
          <w:b/>
          <w:i/>
          <w:sz w:val="20"/>
          <w:szCs w:val="20"/>
        </w:rPr>
        <w:t xml:space="preserve">Creation of viable </w:t>
      </w:r>
      <w:r w:rsidR="00F73624">
        <w:rPr>
          <w:rFonts w:ascii="Arial" w:hAnsi="Arial" w:cs="Arial"/>
          <w:b/>
          <w:i/>
          <w:sz w:val="20"/>
          <w:szCs w:val="20"/>
        </w:rPr>
        <w:t xml:space="preserve">and sustainable rural </w:t>
      </w:r>
      <w:r w:rsidRPr="00C31CB6">
        <w:rPr>
          <w:rFonts w:ascii="Arial" w:hAnsi="Arial" w:cs="Arial"/>
          <w:b/>
          <w:i/>
          <w:sz w:val="20"/>
          <w:szCs w:val="20"/>
        </w:rPr>
        <w:t xml:space="preserve"> </w:t>
      </w:r>
      <w:r w:rsidR="00F73624">
        <w:rPr>
          <w:rFonts w:ascii="Arial" w:hAnsi="Arial" w:cs="Arial"/>
          <w:b/>
          <w:i/>
          <w:sz w:val="20"/>
          <w:szCs w:val="20"/>
        </w:rPr>
        <w:t>economies</w:t>
      </w:r>
    </w:p>
    <w:p w:rsidR="00F73624" w:rsidRPr="00F73624" w:rsidRDefault="00F73624" w:rsidP="00F73624">
      <w:pPr>
        <w:pStyle w:val="ListParagraph"/>
        <w:numPr>
          <w:ilvl w:val="0"/>
          <w:numId w:val="14"/>
        </w:numPr>
        <w:spacing w:line="360" w:lineRule="auto"/>
        <w:ind w:left="567" w:hanging="567"/>
        <w:jc w:val="both"/>
        <w:rPr>
          <w:rFonts w:ascii="Arial" w:hAnsi="Arial" w:cs="Arial"/>
          <w:b/>
          <w:i/>
          <w:sz w:val="20"/>
          <w:szCs w:val="20"/>
        </w:rPr>
      </w:pPr>
      <w:r w:rsidRPr="00F73624">
        <w:rPr>
          <w:rFonts w:ascii="Arial" w:hAnsi="Arial" w:cs="Arial"/>
          <w:b/>
          <w:i/>
          <w:sz w:val="20"/>
          <w:szCs w:val="20"/>
        </w:rPr>
        <w:t>Investment promotion, enterprise development and job creation</w:t>
      </w:r>
    </w:p>
    <w:p w:rsidR="00C31CB6" w:rsidRPr="00C31CB6" w:rsidRDefault="00C31CB6" w:rsidP="003D7B0D">
      <w:pPr>
        <w:pStyle w:val="ListParagraph"/>
        <w:numPr>
          <w:ilvl w:val="0"/>
          <w:numId w:val="14"/>
        </w:numPr>
        <w:spacing w:line="360" w:lineRule="auto"/>
        <w:ind w:left="567" w:hanging="567"/>
        <w:jc w:val="both"/>
        <w:rPr>
          <w:rFonts w:ascii="Arial" w:hAnsi="Arial" w:cs="Arial"/>
          <w:b/>
          <w:i/>
          <w:sz w:val="20"/>
          <w:szCs w:val="20"/>
        </w:rPr>
      </w:pPr>
      <w:r w:rsidRPr="00C31CB6">
        <w:rPr>
          <w:rFonts w:ascii="Arial" w:hAnsi="Arial" w:cs="Arial"/>
          <w:b/>
          <w:i/>
          <w:sz w:val="20"/>
          <w:szCs w:val="20"/>
        </w:rPr>
        <w:t>Development of sector specific scarce skills</w:t>
      </w:r>
    </w:p>
    <w:p w:rsidR="00973B84" w:rsidRPr="004D2E12" w:rsidRDefault="00A92727" w:rsidP="003D7B0D">
      <w:pPr>
        <w:pStyle w:val="ListParagraph"/>
        <w:numPr>
          <w:ilvl w:val="0"/>
          <w:numId w:val="14"/>
        </w:numPr>
        <w:spacing w:line="360" w:lineRule="auto"/>
        <w:ind w:left="567" w:hanging="567"/>
        <w:jc w:val="both"/>
        <w:rPr>
          <w:rFonts w:ascii="Arial" w:hAnsi="Arial" w:cs="Arial"/>
          <w:b/>
          <w:i/>
          <w:sz w:val="20"/>
          <w:szCs w:val="20"/>
        </w:rPr>
      </w:pPr>
      <w:r>
        <w:rPr>
          <w:rFonts w:ascii="Arial" w:hAnsi="Arial" w:cs="Arial"/>
          <w:b/>
          <w:i/>
          <w:sz w:val="20"/>
          <w:szCs w:val="20"/>
        </w:rPr>
        <w:t>Stakeholder and community</w:t>
      </w:r>
      <w:r w:rsidR="00055BE5">
        <w:rPr>
          <w:rFonts w:ascii="Arial" w:hAnsi="Arial" w:cs="Arial"/>
          <w:b/>
          <w:i/>
          <w:sz w:val="20"/>
          <w:szCs w:val="20"/>
        </w:rPr>
        <w:t xml:space="preserve"> en</w:t>
      </w:r>
      <w:r w:rsidR="00C31CB6" w:rsidRPr="00C31CB6">
        <w:rPr>
          <w:rFonts w:ascii="Arial" w:hAnsi="Arial" w:cs="Arial"/>
          <w:b/>
          <w:i/>
          <w:sz w:val="20"/>
          <w:szCs w:val="20"/>
        </w:rPr>
        <w:t>gagement</w:t>
      </w:r>
    </w:p>
    <w:p w:rsidR="00E90C0E" w:rsidRPr="00E90C0E" w:rsidRDefault="00055BE5" w:rsidP="00055BE5">
      <w:pPr>
        <w:spacing w:line="360" w:lineRule="auto"/>
        <w:jc w:val="both"/>
        <w:rPr>
          <w:rFonts w:ascii="Arial" w:hAnsi="Arial" w:cs="Arial"/>
          <w:sz w:val="20"/>
          <w:szCs w:val="20"/>
        </w:rPr>
      </w:pPr>
      <w:r>
        <w:rPr>
          <w:rFonts w:ascii="Arial" w:hAnsi="Arial" w:cs="Arial"/>
          <w:sz w:val="20"/>
          <w:szCs w:val="20"/>
        </w:rPr>
        <w:t xml:space="preserve">The </w:t>
      </w:r>
      <w:r w:rsidR="000D188B">
        <w:rPr>
          <w:rFonts w:ascii="Arial" w:hAnsi="Arial" w:cs="Arial"/>
          <w:sz w:val="20"/>
          <w:szCs w:val="20"/>
        </w:rPr>
        <w:t>Quarter 2 p</w:t>
      </w:r>
      <w:r>
        <w:rPr>
          <w:rFonts w:ascii="Arial" w:hAnsi="Arial" w:cs="Arial"/>
          <w:sz w:val="20"/>
          <w:szCs w:val="20"/>
        </w:rPr>
        <w:t xml:space="preserve">erformance report will provide an assessment of the agency’s performance in the period starting 1 </w:t>
      </w:r>
      <w:r w:rsidR="000D188B">
        <w:rPr>
          <w:rFonts w:ascii="Arial" w:hAnsi="Arial" w:cs="Arial"/>
          <w:sz w:val="20"/>
          <w:szCs w:val="20"/>
        </w:rPr>
        <w:t xml:space="preserve">October </w:t>
      </w:r>
      <w:r w:rsidR="00F73624">
        <w:rPr>
          <w:rFonts w:ascii="Arial" w:hAnsi="Arial" w:cs="Arial"/>
          <w:sz w:val="20"/>
          <w:szCs w:val="20"/>
        </w:rPr>
        <w:t>to 3</w:t>
      </w:r>
      <w:r w:rsidR="000D188B">
        <w:rPr>
          <w:rFonts w:ascii="Arial" w:hAnsi="Arial" w:cs="Arial"/>
          <w:sz w:val="20"/>
          <w:szCs w:val="20"/>
        </w:rPr>
        <w:t>1</w:t>
      </w:r>
      <w:r w:rsidR="00F73624">
        <w:rPr>
          <w:rFonts w:ascii="Arial" w:hAnsi="Arial" w:cs="Arial"/>
          <w:sz w:val="20"/>
          <w:szCs w:val="20"/>
        </w:rPr>
        <w:t xml:space="preserve"> September 2017</w:t>
      </w:r>
      <w:r>
        <w:rPr>
          <w:rFonts w:ascii="Arial" w:hAnsi="Arial" w:cs="Arial"/>
          <w:sz w:val="20"/>
          <w:szCs w:val="20"/>
        </w:rPr>
        <w:t xml:space="preserve">, against these identified strategic </w:t>
      </w:r>
      <w:r w:rsidR="00F73624">
        <w:rPr>
          <w:rFonts w:ascii="Arial" w:hAnsi="Arial" w:cs="Arial"/>
          <w:sz w:val="20"/>
          <w:szCs w:val="20"/>
        </w:rPr>
        <w:t>goals</w:t>
      </w:r>
      <w:r>
        <w:rPr>
          <w:rFonts w:ascii="Arial" w:hAnsi="Arial" w:cs="Arial"/>
          <w:sz w:val="20"/>
          <w:szCs w:val="20"/>
        </w:rPr>
        <w:t>, and reflect in depth on areas of non-performance, so that remedial action can be taken timeously to ensure planned objectives are realized by 30 June 201</w:t>
      </w:r>
      <w:r w:rsidR="00F73624">
        <w:rPr>
          <w:rFonts w:ascii="Arial" w:hAnsi="Arial" w:cs="Arial"/>
          <w:sz w:val="20"/>
          <w:szCs w:val="20"/>
        </w:rPr>
        <w:t>8</w:t>
      </w:r>
      <w:r>
        <w:rPr>
          <w:rFonts w:ascii="Arial" w:hAnsi="Arial" w:cs="Arial"/>
          <w:sz w:val="20"/>
          <w:szCs w:val="20"/>
        </w:rPr>
        <w:t>.</w:t>
      </w:r>
      <w:r w:rsidR="000D188B">
        <w:rPr>
          <w:rFonts w:ascii="Arial" w:hAnsi="Arial" w:cs="Arial"/>
          <w:sz w:val="20"/>
          <w:szCs w:val="20"/>
        </w:rPr>
        <w:t xml:space="preserve">  These performance results will be reviewed with a perspective against the annual planned deliverables, to establish likelihood of non-performance to annual targets.</w:t>
      </w:r>
    </w:p>
    <w:p w:rsidR="007151B4" w:rsidRDefault="007151B4" w:rsidP="00055BE5">
      <w:pPr>
        <w:spacing w:line="360" w:lineRule="auto"/>
        <w:jc w:val="both"/>
        <w:rPr>
          <w:rFonts w:ascii="Arial" w:hAnsi="Arial" w:cs="Arial"/>
          <w:b/>
          <w:u w:val="single"/>
        </w:rPr>
      </w:pPr>
    </w:p>
    <w:p w:rsidR="007151B4" w:rsidRPr="00D71151" w:rsidRDefault="007151B4" w:rsidP="00313AD7">
      <w:pPr>
        <w:spacing w:line="360" w:lineRule="auto"/>
        <w:jc w:val="both"/>
        <w:rPr>
          <w:rFonts w:ascii="Arial" w:hAnsi="Arial" w:cs="Arial"/>
          <w:b/>
          <w:u w:val="single"/>
        </w:rPr>
      </w:pPr>
      <w:r>
        <w:rPr>
          <w:rFonts w:ascii="Arial" w:hAnsi="Arial" w:cs="Arial"/>
          <w:b/>
          <w:u w:val="single"/>
        </w:rPr>
        <w:t>Quarter 2 _ 2017-18: Summary Performance</w:t>
      </w:r>
    </w:p>
    <w:p w:rsidR="00973B84" w:rsidRDefault="00313AD7" w:rsidP="00313AD7">
      <w:pPr>
        <w:spacing w:line="360" w:lineRule="auto"/>
        <w:jc w:val="both"/>
        <w:rPr>
          <w:rFonts w:ascii="Arial" w:hAnsi="Arial" w:cs="Arial"/>
          <w:sz w:val="20"/>
          <w:szCs w:val="20"/>
        </w:rPr>
      </w:pPr>
      <w:r w:rsidRPr="004B57D3">
        <w:rPr>
          <w:rFonts w:ascii="Arial" w:hAnsi="Arial" w:cs="Arial"/>
          <w:sz w:val="20"/>
          <w:szCs w:val="20"/>
        </w:rPr>
        <w:t xml:space="preserve">The </w:t>
      </w:r>
      <w:r>
        <w:rPr>
          <w:rFonts w:ascii="Arial" w:hAnsi="Arial" w:cs="Arial"/>
          <w:sz w:val="20"/>
          <w:szCs w:val="20"/>
        </w:rPr>
        <w:t xml:space="preserve">agency’s assessed performance for the period </w:t>
      </w:r>
      <w:r w:rsidR="000D188B">
        <w:rPr>
          <w:rFonts w:ascii="Arial" w:hAnsi="Arial" w:cs="Arial"/>
          <w:sz w:val="20"/>
          <w:szCs w:val="20"/>
        </w:rPr>
        <w:t>1 October to 31 September 2017</w:t>
      </w:r>
      <w:r>
        <w:rPr>
          <w:rFonts w:ascii="Arial" w:hAnsi="Arial" w:cs="Arial"/>
          <w:sz w:val="20"/>
          <w:szCs w:val="20"/>
        </w:rPr>
        <w:t>, is as follows:</w:t>
      </w:r>
    </w:p>
    <w:p w:rsidR="00D71151" w:rsidRDefault="00D71151" w:rsidP="00313AD7">
      <w:pPr>
        <w:spacing w:line="360" w:lineRule="auto"/>
        <w:jc w:val="both"/>
        <w:rPr>
          <w:rFonts w:ascii="Arial" w:hAnsi="Arial" w:cs="Arial"/>
          <w:sz w:val="20"/>
          <w:szCs w:val="20"/>
        </w:rPr>
      </w:pPr>
      <w:r w:rsidRPr="00D934F6">
        <w:rPr>
          <w:noProof/>
          <w:lang w:val="en-ZA" w:eastAsia="en-ZA"/>
        </w:rPr>
        <w:drawing>
          <wp:inline distT="0" distB="0" distL="0" distR="0" wp14:anchorId="4DE01A05" wp14:editId="29531F70">
            <wp:extent cx="5848350"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485900"/>
                    </a:xfrm>
                    <a:prstGeom prst="rect">
                      <a:avLst/>
                    </a:prstGeom>
                    <a:noFill/>
                    <a:ln>
                      <a:noFill/>
                    </a:ln>
                  </pic:spPr>
                </pic:pic>
              </a:graphicData>
            </a:graphic>
          </wp:inline>
        </w:drawing>
      </w:r>
    </w:p>
    <w:p w:rsidR="00313AD7" w:rsidRPr="00313AD7" w:rsidRDefault="00313AD7" w:rsidP="00313AD7">
      <w:pPr>
        <w:spacing w:line="360" w:lineRule="auto"/>
        <w:jc w:val="both"/>
        <w:rPr>
          <w:rFonts w:ascii="Arial" w:hAnsi="Arial" w:cs="Arial"/>
          <w:b/>
          <w:i/>
          <w:sz w:val="20"/>
          <w:szCs w:val="20"/>
        </w:rPr>
      </w:pPr>
      <w:r w:rsidRPr="00313AD7">
        <w:rPr>
          <w:rFonts w:ascii="Arial" w:hAnsi="Arial" w:cs="Arial"/>
          <w:b/>
          <w:i/>
          <w:sz w:val="20"/>
          <w:szCs w:val="20"/>
          <w:shd w:val="clear" w:color="auto" w:fill="92D050"/>
        </w:rPr>
        <w:t>Achieved:</w:t>
      </w:r>
      <w:r w:rsidRPr="00313AD7">
        <w:rPr>
          <w:rFonts w:ascii="Arial" w:hAnsi="Arial" w:cs="Arial"/>
          <w:b/>
          <w:i/>
          <w:sz w:val="20"/>
          <w:szCs w:val="20"/>
          <w:shd w:val="clear" w:color="auto" w:fill="92D050"/>
        </w:rPr>
        <w:tab/>
      </w:r>
      <w:r w:rsidRPr="00313AD7">
        <w:rPr>
          <w:rFonts w:ascii="Arial" w:hAnsi="Arial" w:cs="Arial"/>
          <w:b/>
          <w:i/>
          <w:sz w:val="20"/>
          <w:szCs w:val="20"/>
          <w:shd w:val="clear" w:color="auto" w:fill="92D050"/>
        </w:rPr>
        <w:tab/>
      </w:r>
      <w:r w:rsidR="000D188B">
        <w:rPr>
          <w:rFonts w:ascii="Arial" w:hAnsi="Arial" w:cs="Arial"/>
          <w:b/>
          <w:i/>
          <w:sz w:val="20"/>
          <w:szCs w:val="20"/>
          <w:shd w:val="clear" w:color="auto" w:fill="92D050"/>
        </w:rPr>
        <w:t>62</w:t>
      </w:r>
      <w:r w:rsidRPr="00313AD7">
        <w:rPr>
          <w:rFonts w:ascii="Arial" w:hAnsi="Arial" w:cs="Arial"/>
          <w:b/>
          <w:i/>
          <w:sz w:val="20"/>
          <w:szCs w:val="20"/>
          <w:shd w:val="clear" w:color="auto" w:fill="92D050"/>
        </w:rPr>
        <w:t>%</w:t>
      </w:r>
      <w:r>
        <w:rPr>
          <w:rFonts w:ascii="Arial" w:hAnsi="Arial" w:cs="Arial"/>
          <w:b/>
          <w:i/>
          <w:sz w:val="20"/>
          <w:szCs w:val="20"/>
        </w:rPr>
        <w:tab/>
      </w:r>
      <w:r w:rsidRPr="00313AD7">
        <w:rPr>
          <w:rFonts w:ascii="Arial" w:hAnsi="Arial" w:cs="Arial"/>
          <w:i/>
          <w:sz w:val="20"/>
          <w:szCs w:val="20"/>
        </w:rPr>
        <w:t xml:space="preserve">(100% completion of planned activities due by end </w:t>
      </w:r>
      <w:r w:rsidR="000D188B">
        <w:rPr>
          <w:rFonts w:ascii="Arial" w:hAnsi="Arial" w:cs="Arial"/>
          <w:i/>
          <w:sz w:val="20"/>
          <w:szCs w:val="20"/>
        </w:rPr>
        <w:t>Dec</w:t>
      </w:r>
      <w:r w:rsidR="007D48E0">
        <w:rPr>
          <w:rFonts w:ascii="Arial" w:hAnsi="Arial" w:cs="Arial"/>
          <w:i/>
          <w:sz w:val="20"/>
          <w:szCs w:val="20"/>
        </w:rPr>
        <w:t xml:space="preserve"> 2017</w:t>
      </w:r>
      <w:r w:rsidRPr="00313AD7">
        <w:rPr>
          <w:rFonts w:ascii="Arial" w:hAnsi="Arial" w:cs="Arial"/>
          <w:i/>
          <w:sz w:val="20"/>
          <w:szCs w:val="20"/>
        </w:rPr>
        <w:t>)</w:t>
      </w:r>
    </w:p>
    <w:p w:rsidR="00313AD7" w:rsidRPr="00313AD7" w:rsidRDefault="00313AD7" w:rsidP="00313AD7">
      <w:pPr>
        <w:spacing w:line="360" w:lineRule="auto"/>
        <w:jc w:val="both"/>
        <w:rPr>
          <w:rFonts w:ascii="Arial" w:hAnsi="Arial" w:cs="Arial"/>
          <w:b/>
          <w:i/>
          <w:sz w:val="20"/>
          <w:szCs w:val="20"/>
        </w:rPr>
      </w:pPr>
      <w:r w:rsidRPr="00313AD7">
        <w:rPr>
          <w:rFonts w:ascii="Arial" w:hAnsi="Arial" w:cs="Arial"/>
          <w:b/>
          <w:i/>
          <w:sz w:val="20"/>
          <w:szCs w:val="20"/>
          <w:shd w:val="clear" w:color="auto" w:fill="FFC000"/>
        </w:rPr>
        <w:t>Partially achieved:</w:t>
      </w:r>
      <w:r w:rsidRPr="00313AD7">
        <w:rPr>
          <w:rFonts w:ascii="Arial" w:hAnsi="Arial" w:cs="Arial"/>
          <w:b/>
          <w:i/>
          <w:sz w:val="20"/>
          <w:szCs w:val="20"/>
          <w:shd w:val="clear" w:color="auto" w:fill="FFC000"/>
        </w:rPr>
        <w:tab/>
      </w:r>
      <w:r w:rsidR="000D188B">
        <w:rPr>
          <w:rFonts w:ascii="Arial" w:hAnsi="Arial" w:cs="Arial"/>
          <w:b/>
          <w:i/>
          <w:sz w:val="20"/>
          <w:szCs w:val="20"/>
          <w:shd w:val="clear" w:color="auto" w:fill="FFC000"/>
        </w:rPr>
        <w:t>12</w:t>
      </w:r>
      <w:r w:rsidRPr="00313AD7">
        <w:rPr>
          <w:rFonts w:ascii="Arial" w:hAnsi="Arial" w:cs="Arial"/>
          <w:b/>
          <w:i/>
          <w:sz w:val="20"/>
          <w:szCs w:val="20"/>
          <w:shd w:val="clear" w:color="auto" w:fill="FFC000"/>
        </w:rPr>
        <w:t>%</w:t>
      </w:r>
      <w:r>
        <w:rPr>
          <w:rFonts w:ascii="Arial" w:hAnsi="Arial" w:cs="Arial"/>
          <w:b/>
          <w:i/>
          <w:sz w:val="20"/>
          <w:szCs w:val="20"/>
        </w:rPr>
        <w:tab/>
      </w:r>
      <w:r w:rsidRPr="00313AD7">
        <w:rPr>
          <w:rFonts w:ascii="Arial" w:hAnsi="Arial" w:cs="Arial"/>
          <w:i/>
          <w:sz w:val="20"/>
          <w:szCs w:val="20"/>
        </w:rPr>
        <w:t>(</w:t>
      </w:r>
      <w:r w:rsidR="00F73624">
        <w:rPr>
          <w:rFonts w:ascii="Arial" w:hAnsi="Arial" w:cs="Arial"/>
          <w:i/>
          <w:sz w:val="20"/>
          <w:szCs w:val="20"/>
        </w:rPr>
        <w:t>75</w:t>
      </w:r>
      <w:r w:rsidR="00E519FD">
        <w:rPr>
          <w:rFonts w:ascii="Arial" w:hAnsi="Arial" w:cs="Arial"/>
          <w:i/>
          <w:sz w:val="20"/>
          <w:szCs w:val="20"/>
        </w:rPr>
        <w:t>% and above</w:t>
      </w:r>
      <w:r w:rsidRPr="00313AD7">
        <w:rPr>
          <w:rFonts w:ascii="Arial" w:hAnsi="Arial" w:cs="Arial"/>
          <w:i/>
          <w:sz w:val="20"/>
          <w:szCs w:val="20"/>
        </w:rPr>
        <w:t xml:space="preserve"> but below 100%</w:t>
      </w:r>
      <w:r w:rsidR="007D48E0">
        <w:rPr>
          <w:rFonts w:ascii="Arial" w:hAnsi="Arial" w:cs="Arial"/>
          <w:i/>
          <w:sz w:val="20"/>
          <w:szCs w:val="20"/>
        </w:rPr>
        <w:t xml:space="preserve"> planned activities due by end </w:t>
      </w:r>
      <w:r w:rsidR="000D188B">
        <w:rPr>
          <w:rFonts w:ascii="Arial" w:hAnsi="Arial" w:cs="Arial"/>
          <w:i/>
          <w:sz w:val="20"/>
          <w:szCs w:val="20"/>
        </w:rPr>
        <w:t>Dec</w:t>
      </w:r>
      <w:r w:rsidR="007D48E0">
        <w:rPr>
          <w:rFonts w:ascii="Arial" w:hAnsi="Arial" w:cs="Arial"/>
          <w:i/>
          <w:sz w:val="20"/>
          <w:szCs w:val="20"/>
        </w:rPr>
        <w:t xml:space="preserve"> 2017</w:t>
      </w:r>
      <w:r w:rsidRPr="00313AD7">
        <w:rPr>
          <w:rFonts w:ascii="Arial" w:hAnsi="Arial" w:cs="Arial"/>
          <w:i/>
          <w:sz w:val="20"/>
          <w:szCs w:val="20"/>
        </w:rPr>
        <w:t>)</w:t>
      </w:r>
    </w:p>
    <w:p w:rsidR="007151B4" w:rsidRDefault="00313AD7" w:rsidP="00313AD7">
      <w:pPr>
        <w:spacing w:line="360" w:lineRule="auto"/>
        <w:jc w:val="both"/>
        <w:rPr>
          <w:rFonts w:ascii="Arial" w:hAnsi="Arial" w:cs="Arial"/>
          <w:i/>
          <w:sz w:val="20"/>
          <w:szCs w:val="20"/>
        </w:rPr>
      </w:pPr>
      <w:r w:rsidRPr="00313AD7">
        <w:rPr>
          <w:rFonts w:ascii="Arial" w:hAnsi="Arial" w:cs="Arial"/>
          <w:b/>
          <w:i/>
          <w:sz w:val="20"/>
          <w:szCs w:val="20"/>
          <w:shd w:val="clear" w:color="auto" w:fill="FF0000"/>
        </w:rPr>
        <w:t>Not achieved:</w:t>
      </w:r>
      <w:r w:rsidRPr="00313AD7">
        <w:rPr>
          <w:rFonts w:ascii="Arial" w:hAnsi="Arial" w:cs="Arial"/>
          <w:b/>
          <w:i/>
          <w:sz w:val="20"/>
          <w:szCs w:val="20"/>
          <w:shd w:val="clear" w:color="auto" w:fill="FF0000"/>
        </w:rPr>
        <w:tab/>
      </w:r>
      <w:r w:rsidRPr="00313AD7">
        <w:rPr>
          <w:rFonts w:ascii="Arial" w:hAnsi="Arial" w:cs="Arial"/>
          <w:b/>
          <w:i/>
          <w:sz w:val="20"/>
          <w:szCs w:val="20"/>
          <w:shd w:val="clear" w:color="auto" w:fill="FF0000"/>
        </w:rPr>
        <w:tab/>
      </w:r>
      <w:r w:rsidR="000D188B">
        <w:rPr>
          <w:rFonts w:ascii="Arial" w:hAnsi="Arial" w:cs="Arial"/>
          <w:b/>
          <w:i/>
          <w:sz w:val="20"/>
          <w:szCs w:val="20"/>
          <w:shd w:val="clear" w:color="auto" w:fill="FF0000"/>
        </w:rPr>
        <w:t>26</w:t>
      </w:r>
      <w:r w:rsidRPr="00313AD7">
        <w:rPr>
          <w:rFonts w:ascii="Arial" w:hAnsi="Arial" w:cs="Arial"/>
          <w:b/>
          <w:i/>
          <w:sz w:val="20"/>
          <w:szCs w:val="20"/>
          <w:shd w:val="clear" w:color="auto" w:fill="FF0000"/>
        </w:rPr>
        <w:t>%</w:t>
      </w:r>
      <w:r>
        <w:rPr>
          <w:rFonts w:ascii="Arial" w:hAnsi="Arial" w:cs="Arial"/>
          <w:b/>
          <w:i/>
          <w:sz w:val="20"/>
          <w:szCs w:val="20"/>
        </w:rPr>
        <w:tab/>
      </w:r>
      <w:r w:rsidRPr="00313AD7">
        <w:rPr>
          <w:rFonts w:ascii="Arial" w:hAnsi="Arial" w:cs="Arial"/>
          <w:i/>
          <w:sz w:val="20"/>
          <w:szCs w:val="20"/>
        </w:rPr>
        <w:t xml:space="preserve">(less than 50% completion of planned activities due by end </w:t>
      </w:r>
      <w:r w:rsidR="000D188B">
        <w:rPr>
          <w:rFonts w:ascii="Arial" w:hAnsi="Arial" w:cs="Arial"/>
          <w:i/>
          <w:sz w:val="20"/>
          <w:szCs w:val="20"/>
        </w:rPr>
        <w:t>Dec</w:t>
      </w:r>
      <w:r w:rsidR="007D48E0">
        <w:rPr>
          <w:rFonts w:ascii="Arial" w:hAnsi="Arial" w:cs="Arial"/>
          <w:i/>
          <w:sz w:val="20"/>
          <w:szCs w:val="20"/>
        </w:rPr>
        <w:t xml:space="preserve"> 2017)</w:t>
      </w:r>
    </w:p>
    <w:p w:rsidR="00D71151" w:rsidRPr="007151B4" w:rsidRDefault="00D71151" w:rsidP="00313AD7">
      <w:pPr>
        <w:spacing w:line="360" w:lineRule="auto"/>
        <w:jc w:val="both"/>
        <w:rPr>
          <w:rFonts w:ascii="Arial" w:hAnsi="Arial" w:cs="Arial"/>
          <w:b/>
          <w:i/>
          <w:sz w:val="20"/>
          <w:szCs w:val="20"/>
        </w:rPr>
      </w:pPr>
    </w:p>
    <w:p w:rsidR="00D71151" w:rsidRPr="00D934F6" w:rsidRDefault="00D71151" w:rsidP="00D71151">
      <w:pPr>
        <w:pStyle w:val="ListParagraph"/>
        <w:numPr>
          <w:ilvl w:val="0"/>
          <w:numId w:val="19"/>
        </w:numPr>
        <w:spacing w:line="360" w:lineRule="auto"/>
        <w:ind w:left="567" w:hanging="567"/>
        <w:jc w:val="both"/>
        <w:rPr>
          <w:rFonts w:ascii="Arial" w:hAnsi="Arial" w:cs="Arial"/>
          <w:sz w:val="20"/>
          <w:szCs w:val="20"/>
        </w:rPr>
      </w:pPr>
      <w:r w:rsidRPr="00D934F6">
        <w:rPr>
          <w:rFonts w:ascii="Arial" w:hAnsi="Arial" w:cs="Arial"/>
          <w:sz w:val="20"/>
          <w:szCs w:val="20"/>
        </w:rPr>
        <w:t>A total of 21 deliverables of the 34 (62%) identified for the quarter have been fully achieved to 100% of the quarterly target.</w:t>
      </w:r>
    </w:p>
    <w:p w:rsidR="00D71151" w:rsidRPr="00D934F6" w:rsidRDefault="00D71151" w:rsidP="00D71151">
      <w:pPr>
        <w:pStyle w:val="ListParagraph"/>
        <w:numPr>
          <w:ilvl w:val="0"/>
          <w:numId w:val="19"/>
        </w:numPr>
        <w:spacing w:line="360" w:lineRule="auto"/>
        <w:ind w:left="567" w:hanging="567"/>
        <w:jc w:val="both"/>
        <w:rPr>
          <w:rFonts w:ascii="Arial" w:hAnsi="Arial" w:cs="Arial"/>
          <w:sz w:val="20"/>
          <w:szCs w:val="20"/>
        </w:rPr>
      </w:pPr>
      <w:r w:rsidRPr="00D934F6">
        <w:rPr>
          <w:rFonts w:ascii="Arial" w:hAnsi="Arial" w:cs="Arial"/>
          <w:sz w:val="20"/>
          <w:szCs w:val="20"/>
        </w:rPr>
        <w:t xml:space="preserve">A total of 4 deliverables of the 34 (12%) identified for the quarter has been identified as being partially achieved on track, for full achievement anticipated by the end of the year.  </w:t>
      </w:r>
    </w:p>
    <w:p w:rsidR="00D71151" w:rsidRPr="007B40AC" w:rsidRDefault="00D71151" w:rsidP="00D71151">
      <w:pPr>
        <w:pStyle w:val="ListParagraph"/>
        <w:numPr>
          <w:ilvl w:val="0"/>
          <w:numId w:val="19"/>
        </w:numPr>
        <w:spacing w:line="360" w:lineRule="auto"/>
        <w:ind w:left="567" w:hanging="567"/>
        <w:jc w:val="both"/>
        <w:rPr>
          <w:rFonts w:ascii="Arial" w:hAnsi="Arial" w:cs="Arial"/>
          <w:sz w:val="20"/>
          <w:szCs w:val="20"/>
        </w:rPr>
      </w:pPr>
      <w:r w:rsidRPr="00D934F6">
        <w:rPr>
          <w:rFonts w:ascii="Arial" w:hAnsi="Arial" w:cs="Arial"/>
          <w:sz w:val="20"/>
          <w:szCs w:val="20"/>
        </w:rPr>
        <w:t xml:space="preserve">However, a total of 9 deliverables of the 34 (26%) identified for the quarter have been identified as not achieved, but can be remedied by the end of Quarter 3.  </w:t>
      </w:r>
    </w:p>
    <w:p w:rsidR="00D71151" w:rsidRDefault="00D71151" w:rsidP="00313AD7">
      <w:pPr>
        <w:spacing w:line="360" w:lineRule="auto"/>
        <w:jc w:val="both"/>
        <w:rPr>
          <w:rFonts w:ascii="Arial" w:hAnsi="Arial" w:cs="Arial"/>
          <w:sz w:val="20"/>
          <w:szCs w:val="20"/>
        </w:rPr>
      </w:pPr>
    </w:p>
    <w:p w:rsidR="00D71151" w:rsidRPr="000D188B" w:rsidRDefault="00097817" w:rsidP="00313AD7">
      <w:pPr>
        <w:spacing w:line="360" w:lineRule="auto"/>
        <w:jc w:val="both"/>
        <w:rPr>
          <w:rFonts w:ascii="Arial" w:hAnsi="Arial" w:cs="Arial"/>
          <w:sz w:val="20"/>
          <w:szCs w:val="20"/>
        </w:rPr>
      </w:pPr>
      <w:r w:rsidRPr="000D188B">
        <w:rPr>
          <w:rFonts w:ascii="Arial" w:hAnsi="Arial" w:cs="Arial"/>
          <w:sz w:val="20"/>
          <w:szCs w:val="20"/>
        </w:rPr>
        <w:t xml:space="preserve">These performance figures were achieved with the agency utilizing </w:t>
      </w:r>
      <w:r w:rsidR="000D188B" w:rsidRPr="000D188B">
        <w:rPr>
          <w:rFonts w:ascii="Arial" w:hAnsi="Arial" w:cs="Arial"/>
          <w:sz w:val="20"/>
          <w:szCs w:val="20"/>
        </w:rPr>
        <w:t>34</w:t>
      </w:r>
      <w:r w:rsidR="003D7B0D" w:rsidRPr="000D188B">
        <w:rPr>
          <w:rFonts w:ascii="Arial" w:hAnsi="Arial" w:cs="Arial"/>
          <w:sz w:val="20"/>
          <w:szCs w:val="20"/>
        </w:rPr>
        <w:t xml:space="preserve">% of its </w:t>
      </w:r>
      <w:r w:rsidR="00B54747">
        <w:rPr>
          <w:rFonts w:ascii="Arial" w:hAnsi="Arial" w:cs="Arial"/>
          <w:sz w:val="20"/>
          <w:szCs w:val="20"/>
        </w:rPr>
        <w:t>approved</w:t>
      </w:r>
      <w:r w:rsidR="00E54832" w:rsidRPr="000D188B">
        <w:rPr>
          <w:rFonts w:ascii="Arial" w:hAnsi="Arial" w:cs="Arial"/>
          <w:sz w:val="20"/>
          <w:szCs w:val="20"/>
        </w:rPr>
        <w:t xml:space="preserve"> </w:t>
      </w:r>
      <w:r w:rsidR="003D7B0D" w:rsidRPr="000D188B">
        <w:rPr>
          <w:rFonts w:ascii="Arial" w:hAnsi="Arial" w:cs="Arial"/>
          <w:sz w:val="20"/>
          <w:szCs w:val="20"/>
        </w:rPr>
        <w:t>budget</w:t>
      </w:r>
      <w:r w:rsidR="00B54747">
        <w:rPr>
          <w:rFonts w:ascii="Arial" w:hAnsi="Arial" w:cs="Arial"/>
          <w:sz w:val="20"/>
          <w:szCs w:val="20"/>
        </w:rPr>
        <w:t xml:space="preserve"> (having received only 28% of funds from external parties</w:t>
      </w:r>
      <w:proofErr w:type="gramStart"/>
      <w:r w:rsidR="00B54747">
        <w:rPr>
          <w:rFonts w:ascii="Arial" w:hAnsi="Arial" w:cs="Arial"/>
          <w:sz w:val="20"/>
          <w:szCs w:val="20"/>
        </w:rPr>
        <w:t xml:space="preserve">) </w:t>
      </w:r>
      <w:r w:rsidR="003D7B0D" w:rsidRPr="000D188B">
        <w:rPr>
          <w:rFonts w:ascii="Arial" w:hAnsi="Arial" w:cs="Arial"/>
          <w:sz w:val="20"/>
          <w:szCs w:val="20"/>
        </w:rPr>
        <w:t xml:space="preserve"> as</w:t>
      </w:r>
      <w:proofErr w:type="gramEnd"/>
      <w:r w:rsidR="003D7B0D" w:rsidRPr="000D188B">
        <w:rPr>
          <w:rFonts w:ascii="Arial" w:hAnsi="Arial" w:cs="Arial"/>
          <w:sz w:val="20"/>
          <w:szCs w:val="20"/>
        </w:rPr>
        <w:t xml:space="preserve"> follows:</w:t>
      </w:r>
    </w:p>
    <w:tbl>
      <w:tblPr>
        <w:tblW w:w="9351" w:type="dxa"/>
        <w:tblLook w:val="04A0" w:firstRow="1" w:lastRow="0" w:firstColumn="1" w:lastColumn="0" w:noHBand="0" w:noVBand="1"/>
      </w:tblPr>
      <w:tblGrid>
        <w:gridCol w:w="2547"/>
        <w:gridCol w:w="1276"/>
        <w:gridCol w:w="1275"/>
        <w:gridCol w:w="1134"/>
        <w:gridCol w:w="3119"/>
      </w:tblGrid>
      <w:tr w:rsidR="000D188B" w:rsidRPr="00E90C0E" w:rsidTr="000D188B">
        <w:trPr>
          <w:trHeight w:val="371"/>
        </w:trPr>
        <w:tc>
          <w:tcPr>
            <w:tcW w:w="254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FF7DA8" w:rsidRPr="00E90C0E" w:rsidRDefault="00FF7DA8" w:rsidP="00491917">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Expenditure/Source</w:t>
            </w:r>
          </w:p>
        </w:tc>
        <w:tc>
          <w:tcPr>
            <w:tcW w:w="1276" w:type="dxa"/>
            <w:tcBorders>
              <w:top w:val="single" w:sz="4" w:space="0" w:color="auto"/>
              <w:left w:val="nil"/>
              <w:bottom w:val="single" w:sz="4" w:space="0" w:color="auto"/>
              <w:right w:val="single" w:sz="4" w:space="0" w:color="auto"/>
            </w:tcBorders>
            <w:shd w:val="clear" w:color="auto" w:fill="000000" w:themeFill="text1"/>
            <w:vAlign w:val="center"/>
            <w:hideMark/>
          </w:tcPr>
          <w:p w:rsidR="00FF7DA8" w:rsidRPr="00E90C0E" w:rsidRDefault="00FF7DA8" w:rsidP="00491917">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Budgeted</w:t>
            </w:r>
          </w:p>
        </w:tc>
        <w:tc>
          <w:tcPr>
            <w:tcW w:w="1275" w:type="dxa"/>
            <w:tcBorders>
              <w:top w:val="single" w:sz="4" w:space="0" w:color="auto"/>
              <w:left w:val="nil"/>
              <w:bottom w:val="single" w:sz="4" w:space="0" w:color="auto"/>
              <w:right w:val="single" w:sz="4" w:space="0" w:color="auto"/>
            </w:tcBorders>
            <w:shd w:val="clear" w:color="auto" w:fill="000000" w:themeFill="text1"/>
            <w:vAlign w:val="center"/>
            <w:hideMark/>
          </w:tcPr>
          <w:p w:rsidR="00FF7DA8" w:rsidRPr="00E90C0E" w:rsidRDefault="00FF7DA8" w:rsidP="00491917">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Actual</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rsidR="00FF7DA8" w:rsidRPr="00E90C0E" w:rsidRDefault="00FF7DA8" w:rsidP="00E54832">
            <w:pPr>
              <w:spacing w:after="0" w:line="240" w:lineRule="auto"/>
              <w:jc w:val="center"/>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 Spent</w:t>
            </w:r>
          </w:p>
        </w:tc>
        <w:tc>
          <w:tcPr>
            <w:tcW w:w="3119" w:type="dxa"/>
            <w:tcBorders>
              <w:top w:val="single" w:sz="4" w:space="0" w:color="auto"/>
              <w:left w:val="nil"/>
              <w:bottom w:val="single" w:sz="4" w:space="0" w:color="auto"/>
              <w:right w:val="single" w:sz="4" w:space="0" w:color="auto"/>
            </w:tcBorders>
            <w:shd w:val="clear" w:color="auto" w:fill="000000" w:themeFill="text1"/>
          </w:tcPr>
          <w:p w:rsidR="00FF7DA8" w:rsidRPr="00E90C0E" w:rsidRDefault="00FF7DA8" w:rsidP="00E54832">
            <w:pPr>
              <w:spacing w:after="0" w:line="240" w:lineRule="auto"/>
              <w:jc w:val="center"/>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Funds Received</w:t>
            </w:r>
          </w:p>
        </w:tc>
      </w:tr>
      <w:tr w:rsidR="000D188B" w:rsidRPr="00E90C0E" w:rsidTr="000D188B">
        <w:trPr>
          <w:trHeight w:val="41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F7DA8" w:rsidRPr="00E90C0E" w:rsidRDefault="00FF7DA8" w:rsidP="00491917">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Project Expenditure</w:t>
            </w:r>
          </w:p>
        </w:tc>
        <w:tc>
          <w:tcPr>
            <w:tcW w:w="1276" w:type="dxa"/>
            <w:tcBorders>
              <w:top w:val="nil"/>
              <w:left w:val="nil"/>
              <w:bottom w:val="single" w:sz="4" w:space="0" w:color="auto"/>
              <w:right w:val="single" w:sz="4" w:space="0" w:color="auto"/>
            </w:tcBorders>
            <w:shd w:val="clear" w:color="auto" w:fill="auto"/>
            <w:noWrap/>
            <w:vAlign w:val="center"/>
          </w:tcPr>
          <w:p w:rsidR="00FF7DA8" w:rsidRPr="00E90C0E" w:rsidRDefault="000D188B" w:rsidP="00E54832">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25 768 000</w:t>
            </w:r>
          </w:p>
        </w:tc>
        <w:tc>
          <w:tcPr>
            <w:tcW w:w="1275" w:type="dxa"/>
            <w:tcBorders>
              <w:top w:val="nil"/>
              <w:left w:val="nil"/>
              <w:bottom w:val="single" w:sz="4" w:space="0" w:color="auto"/>
              <w:right w:val="single" w:sz="4" w:space="0" w:color="auto"/>
            </w:tcBorders>
            <w:shd w:val="clear" w:color="auto" w:fill="auto"/>
            <w:noWrap/>
            <w:vAlign w:val="center"/>
          </w:tcPr>
          <w:p w:rsidR="00FF7DA8" w:rsidRPr="00E90C0E" w:rsidRDefault="000D188B" w:rsidP="00E54832">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 xml:space="preserve">  3 870 536</w:t>
            </w:r>
          </w:p>
        </w:tc>
        <w:tc>
          <w:tcPr>
            <w:tcW w:w="1134" w:type="dxa"/>
            <w:tcBorders>
              <w:top w:val="nil"/>
              <w:left w:val="nil"/>
              <w:bottom w:val="single" w:sz="4" w:space="0" w:color="auto"/>
              <w:right w:val="single" w:sz="4" w:space="0" w:color="auto"/>
            </w:tcBorders>
            <w:shd w:val="clear" w:color="auto" w:fill="auto"/>
            <w:noWrap/>
            <w:vAlign w:val="center"/>
          </w:tcPr>
          <w:p w:rsidR="00FF7DA8" w:rsidRPr="00E90C0E" w:rsidRDefault="000D188B" w:rsidP="00491917">
            <w:pPr>
              <w:spacing w:after="0" w:line="240" w:lineRule="auto"/>
              <w:jc w:val="center"/>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15%</w:t>
            </w:r>
          </w:p>
        </w:tc>
        <w:tc>
          <w:tcPr>
            <w:tcW w:w="3119" w:type="dxa"/>
            <w:tcBorders>
              <w:top w:val="nil"/>
              <w:left w:val="nil"/>
              <w:bottom w:val="single" w:sz="4" w:space="0" w:color="auto"/>
              <w:right w:val="single" w:sz="4" w:space="0" w:color="auto"/>
            </w:tcBorders>
            <w:shd w:val="clear" w:color="auto" w:fill="000000" w:themeFill="text1"/>
          </w:tcPr>
          <w:p w:rsidR="00FF7DA8" w:rsidRPr="00E90C0E" w:rsidRDefault="00FF7DA8" w:rsidP="00491917">
            <w:pPr>
              <w:spacing w:after="0" w:line="240" w:lineRule="auto"/>
              <w:jc w:val="center"/>
              <w:rPr>
                <w:rFonts w:ascii="Arial" w:eastAsia="Times New Roman" w:hAnsi="Arial" w:cs="Arial"/>
                <w:b/>
                <w:bCs/>
                <w:sz w:val="18"/>
                <w:szCs w:val="18"/>
                <w:lang w:val="en-ZA" w:eastAsia="en-ZA"/>
              </w:rPr>
            </w:pPr>
            <w:proofErr w:type="spellStart"/>
            <w:r w:rsidRPr="00E90C0E">
              <w:rPr>
                <w:rFonts w:ascii="Arial" w:eastAsia="Times New Roman" w:hAnsi="Arial" w:cs="Arial"/>
                <w:b/>
                <w:bCs/>
                <w:sz w:val="18"/>
                <w:szCs w:val="18"/>
                <w:lang w:val="en-ZA" w:eastAsia="en-ZA"/>
              </w:rPr>
              <w:t>Budgetted</w:t>
            </w:r>
            <w:proofErr w:type="spellEnd"/>
          </w:p>
        </w:tc>
      </w:tr>
      <w:tr w:rsidR="000D188B" w:rsidRPr="00E90C0E" w:rsidTr="000D188B">
        <w:trPr>
          <w:trHeight w:val="403"/>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F7DA8" w:rsidRPr="00E90C0E" w:rsidRDefault="00FF7DA8" w:rsidP="00491917">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Operational Expenditure</w:t>
            </w:r>
          </w:p>
        </w:tc>
        <w:tc>
          <w:tcPr>
            <w:tcW w:w="1276" w:type="dxa"/>
            <w:tcBorders>
              <w:top w:val="nil"/>
              <w:left w:val="nil"/>
              <w:bottom w:val="single" w:sz="4" w:space="0" w:color="auto"/>
              <w:right w:val="single" w:sz="4" w:space="0" w:color="auto"/>
            </w:tcBorders>
            <w:shd w:val="clear" w:color="auto" w:fill="auto"/>
            <w:noWrap/>
            <w:vAlign w:val="center"/>
          </w:tcPr>
          <w:p w:rsidR="00FF7DA8" w:rsidRPr="00E90C0E" w:rsidRDefault="000D188B" w:rsidP="00E54832">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20 119 856</w:t>
            </w:r>
          </w:p>
        </w:tc>
        <w:tc>
          <w:tcPr>
            <w:tcW w:w="1275" w:type="dxa"/>
            <w:tcBorders>
              <w:top w:val="nil"/>
              <w:left w:val="nil"/>
              <w:bottom w:val="single" w:sz="4" w:space="0" w:color="auto"/>
              <w:right w:val="single" w:sz="4" w:space="0" w:color="auto"/>
            </w:tcBorders>
            <w:shd w:val="clear" w:color="auto" w:fill="auto"/>
            <w:noWrap/>
            <w:vAlign w:val="center"/>
          </w:tcPr>
          <w:p w:rsidR="00FF7DA8" w:rsidRPr="00E90C0E" w:rsidRDefault="000D188B" w:rsidP="00E54832">
            <w:pPr>
              <w:spacing w:after="0" w:line="240" w:lineRule="auto"/>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11 815 683</w:t>
            </w:r>
          </w:p>
        </w:tc>
        <w:tc>
          <w:tcPr>
            <w:tcW w:w="1134" w:type="dxa"/>
            <w:tcBorders>
              <w:top w:val="nil"/>
              <w:left w:val="nil"/>
              <w:bottom w:val="single" w:sz="4" w:space="0" w:color="auto"/>
              <w:right w:val="single" w:sz="4" w:space="0" w:color="auto"/>
            </w:tcBorders>
            <w:shd w:val="clear" w:color="auto" w:fill="auto"/>
            <w:noWrap/>
            <w:vAlign w:val="center"/>
          </w:tcPr>
          <w:p w:rsidR="00FF7DA8" w:rsidRPr="00E90C0E" w:rsidRDefault="000D188B" w:rsidP="00491917">
            <w:pPr>
              <w:spacing w:after="0" w:line="240" w:lineRule="auto"/>
              <w:jc w:val="center"/>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59%</w:t>
            </w:r>
          </w:p>
        </w:tc>
        <w:tc>
          <w:tcPr>
            <w:tcW w:w="3119" w:type="dxa"/>
            <w:tcBorders>
              <w:top w:val="nil"/>
              <w:left w:val="nil"/>
              <w:bottom w:val="single" w:sz="4" w:space="0" w:color="auto"/>
              <w:right w:val="single" w:sz="4" w:space="0" w:color="auto"/>
            </w:tcBorders>
          </w:tcPr>
          <w:p w:rsidR="00FF7DA8" w:rsidRPr="00E90C0E" w:rsidRDefault="00B54747" w:rsidP="00491917">
            <w:pPr>
              <w:spacing w:after="0" w:line="240" w:lineRule="auto"/>
              <w:jc w:val="center"/>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45 896 922</w:t>
            </w:r>
          </w:p>
        </w:tc>
      </w:tr>
      <w:tr w:rsidR="000D188B" w:rsidRPr="00E90C0E" w:rsidTr="000D188B">
        <w:trPr>
          <w:trHeight w:val="415"/>
        </w:trPr>
        <w:tc>
          <w:tcPr>
            <w:tcW w:w="2547"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FF7DA8" w:rsidRPr="00E90C0E" w:rsidRDefault="00FF7DA8" w:rsidP="00491917">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Programmes</w:t>
            </w:r>
          </w:p>
        </w:tc>
        <w:tc>
          <w:tcPr>
            <w:tcW w:w="1276"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 xml:space="preserve">    884 805</w:t>
            </w:r>
          </w:p>
        </w:tc>
        <w:tc>
          <w:tcPr>
            <w:tcW w:w="1275"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 xml:space="preserve">    153 460</w:t>
            </w:r>
          </w:p>
        </w:tc>
        <w:tc>
          <w:tcPr>
            <w:tcW w:w="1134"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491917">
            <w:pPr>
              <w:spacing w:after="0" w:line="240" w:lineRule="auto"/>
              <w:jc w:val="center"/>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17%</w:t>
            </w:r>
          </w:p>
        </w:tc>
        <w:tc>
          <w:tcPr>
            <w:tcW w:w="3119" w:type="dxa"/>
            <w:tcBorders>
              <w:top w:val="nil"/>
              <w:left w:val="nil"/>
              <w:bottom w:val="single" w:sz="4" w:space="0" w:color="auto"/>
              <w:right w:val="single" w:sz="4" w:space="0" w:color="auto"/>
            </w:tcBorders>
            <w:shd w:val="clear" w:color="auto" w:fill="BFBFBF" w:themeFill="background1" w:themeFillShade="BF"/>
          </w:tcPr>
          <w:p w:rsidR="00FF7DA8" w:rsidRPr="00E90C0E" w:rsidRDefault="00FF7DA8" w:rsidP="00491917">
            <w:pPr>
              <w:spacing w:after="0" w:line="240" w:lineRule="auto"/>
              <w:jc w:val="center"/>
              <w:rPr>
                <w:rFonts w:ascii="Arial" w:eastAsia="Times New Roman" w:hAnsi="Arial" w:cs="Arial"/>
                <w:b/>
                <w:iCs/>
                <w:sz w:val="18"/>
                <w:szCs w:val="18"/>
                <w:lang w:val="en-ZA" w:eastAsia="en-ZA"/>
              </w:rPr>
            </w:pPr>
            <w:r w:rsidRPr="00E90C0E">
              <w:rPr>
                <w:rFonts w:ascii="Arial" w:eastAsia="Times New Roman" w:hAnsi="Arial" w:cs="Arial"/>
                <w:b/>
                <w:iCs/>
                <w:sz w:val="18"/>
                <w:szCs w:val="18"/>
                <w:lang w:val="en-ZA" w:eastAsia="en-ZA"/>
              </w:rPr>
              <w:t>Received</w:t>
            </w:r>
          </w:p>
        </w:tc>
      </w:tr>
      <w:tr w:rsidR="000D188B" w:rsidRPr="00E90C0E" w:rsidTr="000D188B">
        <w:trPr>
          <w:trHeight w:val="405"/>
        </w:trPr>
        <w:tc>
          <w:tcPr>
            <w:tcW w:w="2547"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FF7DA8" w:rsidRPr="00E90C0E" w:rsidRDefault="00FF7DA8" w:rsidP="00491917">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General Expenses</w:t>
            </w:r>
          </w:p>
        </w:tc>
        <w:tc>
          <w:tcPr>
            <w:tcW w:w="1276"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5 924 298</w:t>
            </w:r>
          </w:p>
        </w:tc>
        <w:tc>
          <w:tcPr>
            <w:tcW w:w="1275"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3 152 917</w:t>
            </w:r>
          </w:p>
        </w:tc>
        <w:tc>
          <w:tcPr>
            <w:tcW w:w="1134"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491917">
            <w:pPr>
              <w:spacing w:after="0" w:line="240" w:lineRule="auto"/>
              <w:jc w:val="center"/>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53%</w:t>
            </w:r>
          </w:p>
        </w:tc>
        <w:tc>
          <w:tcPr>
            <w:tcW w:w="3119" w:type="dxa"/>
            <w:tcBorders>
              <w:top w:val="nil"/>
              <w:left w:val="nil"/>
              <w:bottom w:val="single" w:sz="4" w:space="0" w:color="auto"/>
              <w:right w:val="single" w:sz="4" w:space="0" w:color="auto"/>
            </w:tcBorders>
          </w:tcPr>
          <w:p w:rsidR="00FF7DA8" w:rsidRPr="00E90C0E" w:rsidRDefault="00B54747" w:rsidP="00491917">
            <w:pPr>
              <w:spacing w:after="0" w:line="240" w:lineRule="auto"/>
              <w:jc w:val="center"/>
              <w:rPr>
                <w:rFonts w:ascii="Arial" w:eastAsia="Times New Roman" w:hAnsi="Arial" w:cs="Arial"/>
                <w:b/>
                <w:iCs/>
                <w:sz w:val="18"/>
                <w:szCs w:val="18"/>
                <w:lang w:val="en-ZA" w:eastAsia="en-ZA"/>
              </w:rPr>
            </w:pPr>
            <w:r w:rsidRPr="00E90C0E">
              <w:rPr>
                <w:rFonts w:ascii="Arial" w:eastAsia="Times New Roman" w:hAnsi="Arial" w:cs="Arial"/>
                <w:b/>
                <w:iCs/>
                <w:sz w:val="18"/>
                <w:szCs w:val="18"/>
                <w:lang w:val="en-ZA" w:eastAsia="en-ZA"/>
              </w:rPr>
              <w:t>12 928 986</w:t>
            </w:r>
          </w:p>
        </w:tc>
      </w:tr>
      <w:tr w:rsidR="000D188B" w:rsidRPr="00E90C0E" w:rsidTr="000D188B">
        <w:trPr>
          <w:trHeight w:val="427"/>
        </w:trPr>
        <w:tc>
          <w:tcPr>
            <w:tcW w:w="2547"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FF7DA8" w:rsidRPr="00E90C0E" w:rsidRDefault="000D188B" w:rsidP="00491917">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Repairs and Mainte</w:t>
            </w:r>
            <w:r w:rsidR="00FF7DA8" w:rsidRPr="00E90C0E">
              <w:rPr>
                <w:rFonts w:ascii="Arial" w:eastAsia="Times New Roman" w:hAnsi="Arial" w:cs="Arial"/>
                <w:i/>
                <w:iCs/>
                <w:sz w:val="18"/>
                <w:szCs w:val="18"/>
                <w:lang w:val="en-ZA" w:eastAsia="en-ZA"/>
              </w:rPr>
              <w:t>nance</w:t>
            </w:r>
          </w:p>
        </w:tc>
        <w:tc>
          <w:tcPr>
            <w:tcW w:w="1276"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 xml:space="preserve">    72 660</w:t>
            </w:r>
          </w:p>
        </w:tc>
        <w:tc>
          <w:tcPr>
            <w:tcW w:w="1275"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 xml:space="preserve">       9 931</w:t>
            </w:r>
          </w:p>
        </w:tc>
        <w:tc>
          <w:tcPr>
            <w:tcW w:w="1134" w:type="dxa"/>
            <w:tcBorders>
              <w:top w:val="nil"/>
              <w:left w:val="nil"/>
              <w:bottom w:val="single" w:sz="4" w:space="0" w:color="auto"/>
              <w:right w:val="single" w:sz="4" w:space="0" w:color="auto"/>
            </w:tcBorders>
            <w:shd w:val="clear" w:color="auto" w:fill="EDEDED" w:themeFill="accent3" w:themeFillTint="33"/>
            <w:noWrap/>
            <w:vAlign w:val="center"/>
          </w:tcPr>
          <w:p w:rsidR="00FF7DA8" w:rsidRPr="00E90C0E" w:rsidRDefault="000D188B" w:rsidP="00491917">
            <w:pPr>
              <w:spacing w:after="0" w:line="240" w:lineRule="auto"/>
              <w:jc w:val="center"/>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14%</w:t>
            </w:r>
          </w:p>
        </w:tc>
        <w:tc>
          <w:tcPr>
            <w:tcW w:w="3119" w:type="dxa"/>
            <w:tcBorders>
              <w:top w:val="nil"/>
              <w:left w:val="nil"/>
              <w:bottom w:val="single" w:sz="4" w:space="0" w:color="auto"/>
              <w:right w:val="single" w:sz="4" w:space="0" w:color="auto"/>
            </w:tcBorders>
            <w:shd w:val="clear" w:color="auto" w:fill="BFBFBF" w:themeFill="background1" w:themeFillShade="BF"/>
          </w:tcPr>
          <w:p w:rsidR="00FF7DA8" w:rsidRPr="00E90C0E" w:rsidRDefault="00FF7DA8" w:rsidP="00491917">
            <w:pPr>
              <w:spacing w:after="0" w:line="240" w:lineRule="auto"/>
              <w:jc w:val="center"/>
              <w:rPr>
                <w:rFonts w:ascii="Arial" w:eastAsia="Times New Roman" w:hAnsi="Arial" w:cs="Arial"/>
                <w:b/>
                <w:iCs/>
                <w:sz w:val="18"/>
                <w:szCs w:val="18"/>
                <w:lang w:val="en-ZA" w:eastAsia="en-ZA"/>
              </w:rPr>
            </w:pPr>
            <w:r w:rsidRPr="00E90C0E">
              <w:rPr>
                <w:rFonts w:ascii="Arial" w:eastAsia="Times New Roman" w:hAnsi="Arial" w:cs="Arial"/>
                <w:b/>
                <w:iCs/>
                <w:sz w:val="18"/>
                <w:szCs w:val="18"/>
                <w:lang w:val="en-ZA" w:eastAsia="en-ZA"/>
              </w:rPr>
              <w:t xml:space="preserve">% Received Funds to </w:t>
            </w:r>
            <w:proofErr w:type="spellStart"/>
            <w:r w:rsidRPr="00E90C0E">
              <w:rPr>
                <w:rFonts w:ascii="Arial" w:eastAsia="Times New Roman" w:hAnsi="Arial" w:cs="Arial"/>
                <w:b/>
                <w:iCs/>
                <w:sz w:val="18"/>
                <w:szCs w:val="18"/>
                <w:lang w:val="en-ZA" w:eastAsia="en-ZA"/>
              </w:rPr>
              <w:t>Budgetted</w:t>
            </w:r>
            <w:proofErr w:type="spellEnd"/>
            <w:r w:rsidRPr="00E90C0E">
              <w:rPr>
                <w:rFonts w:ascii="Arial" w:eastAsia="Times New Roman" w:hAnsi="Arial" w:cs="Arial"/>
                <w:b/>
                <w:iCs/>
                <w:sz w:val="18"/>
                <w:szCs w:val="18"/>
                <w:lang w:val="en-ZA" w:eastAsia="en-ZA"/>
              </w:rPr>
              <w:t xml:space="preserve"> </w:t>
            </w:r>
          </w:p>
        </w:tc>
      </w:tr>
      <w:tr w:rsidR="000D188B" w:rsidRPr="00E90C0E" w:rsidTr="000D188B">
        <w:trPr>
          <w:trHeight w:val="417"/>
        </w:trPr>
        <w:tc>
          <w:tcPr>
            <w:tcW w:w="2547"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43E79" w:rsidRPr="00E90C0E" w:rsidRDefault="00843E79" w:rsidP="00491917">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Asset Finance Reserve</w:t>
            </w:r>
          </w:p>
        </w:tc>
        <w:tc>
          <w:tcPr>
            <w:tcW w:w="1276" w:type="dxa"/>
            <w:tcBorders>
              <w:top w:val="nil"/>
              <w:left w:val="nil"/>
              <w:bottom w:val="single" w:sz="4" w:space="0" w:color="auto"/>
              <w:right w:val="single" w:sz="4" w:space="0" w:color="auto"/>
            </w:tcBorders>
            <w:shd w:val="clear" w:color="auto" w:fill="EDEDED" w:themeFill="accent3" w:themeFillTint="33"/>
            <w:noWrap/>
            <w:vAlign w:val="center"/>
          </w:tcPr>
          <w:p w:rsidR="00843E79"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1 992 976</w:t>
            </w:r>
          </w:p>
        </w:tc>
        <w:tc>
          <w:tcPr>
            <w:tcW w:w="1275" w:type="dxa"/>
            <w:tcBorders>
              <w:top w:val="nil"/>
              <w:left w:val="nil"/>
              <w:bottom w:val="single" w:sz="4" w:space="0" w:color="auto"/>
              <w:right w:val="single" w:sz="4" w:space="0" w:color="auto"/>
            </w:tcBorders>
            <w:shd w:val="clear" w:color="auto" w:fill="EDEDED" w:themeFill="accent3" w:themeFillTint="33"/>
            <w:noWrap/>
            <w:vAlign w:val="center"/>
          </w:tcPr>
          <w:p w:rsidR="00843E79"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1 858 928</w:t>
            </w:r>
          </w:p>
        </w:tc>
        <w:tc>
          <w:tcPr>
            <w:tcW w:w="1134" w:type="dxa"/>
            <w:tcBorders>
              <w:top w:val="nil"/>
              <w:left w:val="nil"/>
              <w:bottom w:val="single" w:sz="4" w:space="0" w:color="auto"/>
              <w:right w:val="single" w:sz="4" w:space="0" w:color="auto"/>
            </w:tcBorders>
            <w:shd w:val="clear" w:color="auto" w:fill="EDEDED" w:themeFill="accent3" w:themeFillTint="33"/>
            <w:noWrap/>
            <w:vAlign w:val="center"/>
          </w:tcPr>
          <w:p w:rsidR="00843E79" w:rsidRPr="00E90C0E" w:rsidRDefault="000D188B" w:rsidP="00491917">
            <w:pPr>
              <w:spacing w:after="0" w:line="240" w:lineRule="auto"/>
              <w:jc w:val="center"/>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93%</w:t>
            </w:r>
          </w:p>
        </w:tc>
        <w:tc>
          <w:tcPr>
            <w:tcW w:w="3119" w:type="dxa"/>
            <w:vMerge w:val="restart"/>
            <w:tcBorders>
              <w:top w:val="nil"/>
              <w:left w:val="nil"/>
              <w:right w:val="single" w:sz="4" w:space="0" w:color="auto"/>
            </w:tcBorders>
          </w:tcPr>
          <w:p w:rsidR="00843E79" w:rsidRPr="00E90C0E" w:rsidRDefault="00B54747" w:rsidP="00491917">
            <w:pPr>
              <w:spacing w:after="0" w:line="240" w:lineRule="auto"/>
              <w:jc w:val="center"/>
              <w:rPr>
                <w:rFonts w:ascii="Arial" w:eastAsia="Times New Roman" w:hAnsi="Arial" w:cs="Arial"/>
                <w:b/>
                <w:iCs/>
                <w:sz w:val="18"/>
                <w:szCs w:val="18"/>
                <w:lang w:val="en-ZA" w:eastAsia="en-ZA"/>
              </w:rPr>
            </w:pPr>
            <w:r w:rsidRPr="00E90C0E">
              <w:rPr>
                <w:rFonts w:ascii="Arial" w:eastAsia="Times New Roman" w:hAnsi="Arial" w:cs="Arial"/>
                <w:b/>
                <w:iCs/>
                <w:sz w:val="18"/>
                <w:szCs w:val="18"/>
                <w:lang w:val="en-ZA" w:eastAsia="en-ZA"/>
              </w:rPr>
              <w:t>28%</w:t>
            </w:r>
          </w:p>
        </w:tc>
      </w:tr>
      <w:tr w:rsidR="000D188B" w:rsidRPr="00E90C0E" w:rsidTr="000D188B">
        <w:trPr>
          <w:trHeight w:val="165"/>
        </w:trPr>
        <w:tc>
          <w:tcPr>
            <w:tcW w:w="2547"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843E79" w:rsidRPr="00E90C0E" w:rsidRDefault="00843E79" w:rsidP="00491917">
            <w:pPr>
              <w:spacing w:after="0" w:line="240" w:lineRule="auto"/>
              <w:rPr>
                <w:rFonts w:ascii="Arial" w:eastAsia="Times New Roman" w:hAnsi="Arial" w:cs="Arial"/>
                <w:i/>
                <w:iCs/>
                <w:sz w:val="18"/>
                <w:szCs w:val="18"/>
                <w:lang w:val="en-ZA" w:eastAsia="en-ZA"/>
              </w:rPr>
            </w:pPr>
          </w:p>
          <w:p w:rsidR="00843E79" w:rsidRPr="00E90C0E" w:rsidRDefault="00843E79" w:rsidP="00491917">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Employee Related Costs</w:t>
            </w:r>
          </w:p>
        </w:tc>
        <w:tc>
          <w:tcPr>
            <w:tcW w:w="1276" w:type="dxa"/>
            <w:tcBorders>
              <w:top w:val="nil"/>
              <w:left w:val="nil"/>
              <w:bottom w:val="single" w:sz="4" w:space="0" w:color="auto"/>
              <w:right w:val="single" w:sz="4" w:space="0" w:color="auto"/>
            </w:tcBorders>
            <w:shd w:val="clear" w:color="auto" w:fill="EDEDED" w:themeFill="accent3" w:themeFillTint="33"/>
            <w:noWrap/>
            <w:vAlign w:val="center"/>
          </w:tcPr>
          <w:p w:rsidR="00843E79"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11 245 117</w:t>
            </w:r>
          </w:p>
        </w:tc>
        <w:tc>
          <w:tcPr>
            <w:tcW w:w="1275" w:type="dxa"/>
            <w:tcBorders>
              <w:top w:val="nil"/>
              <w:left w:val="nil"/>
              <w:bottom w:val="single" w:sz="4" w:space="0" w:color="auto"/>
              <w:right w:val="single" w:sz="4" w:space="0" w:color="auto"/>
            </w:tcBorders>
            <w:shd w:val="clear" w:color="auto" w:fill="EDEDED" w:themeFill="accent3" w:themeFillTint="33"/>
            <w:noWrap/>
            <w:vAlign w:val="center"/>
          </w:tcPr>
          <w:p w:rsidR="00843E79" w:rsidRPr="00E90C0E" w:rsidRDefault="000D188B" w:rsidP="00FF7DA8">
            <w:pPr>
              <w:spacing w:after="0" w:line="240" w:lineRule="auto"/>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6 640 447</w:t>
            </w:r>
          </w:p>
        </w:tc>
        <w:tc>
          <w:tcPr>
            <w:tcW w:w="1134" w:type="dxa"/>
            <w:tcBorders>
              <w:top w:val="nil"/>
              <w:left w:val="nil"/>
              <w:bottom w:val="single" w:sz="4" w:space="0" w:color="auto"/>
              <w:right w:val="single" w:sz="4" w:space="0" w:color="auto"/>
            </w:tcBorders>
            <w:shd w:val="clear" w:color="auto" w:fill="EDEDED" w:themeFill="accent3" w:themeFillTint="33"/>
            <w:noWrap/>
            <w:vAlign w:val="center"/>
          </w:tcPr>
          <w:p w:rsidR="00843E79" w:rsidRPr="00E90C0E" w:rsidRDefault="000D188B" w:rsidP="00491917">
            <w:pPr>
              <w:spacing w:after="0" w:line="240" w:lineRule="auto"/>
              <w:jc w:val="center"/>
              <w:rPr>
                <w:rFonts w:ascii="Arial" w:eastAsia="Times New Roman" w:hAnsi="Arial" w:cs="Arial"/>
                <w:i/>
                <w:iCs/>
                <w:sz w:val="18"/>
                <w:szCs w:val="18"/>
                <w:lang w:val="en-ZA" w:eastAsia="en-ZA"/>
              </w:rPr>
            </w:pPr>
            <w:r w:rsidRPr="00E90C0E">
              <w:rPr>
                <w:rFonts w:ascii="Arial" w:eastAsia="Times New Roman" w:hAnsi="Arial" w:cs="Arial"/>
                <w:i/>
                <w:iCs/>
                <w:sz w:val="18"/>
                <w:szCs w:val="18"/>
                <w:lang w:val="en-ZA" w:eastAsia="en-ZA"/>
              </w:rPr>
              <w:t>59%</w:t>
            </w:r>
          </w:p>
        </w:tc>
        <w:tc>
          <w:tcPr>
            <w:tcW w:w="3119" w:type="dxa"/>
            <w:vMerge/>
            <w:tcBorders>
              <w:left w:val="nil"/>
              <w:right w:val="single" w:sz="4" w:space="0" w:color="auto"/>
            </w:tcBorders>
          </w:tcPr>
          <w:p w:rsidR="00843E79" w:rsidRPr="00E90C0E" w:rsidRDefault="00843E79" w:rsidP="00491917">
            <w:pPr>
              <w:spacing w:after="0" w:line="240" w:lineRule="auto"/>
              <w:jc w:val="center"/>
              <w:rPr>
                <w:rFonts w:ascii="Arial" w:eastAsia="Times New Roman" w:hAnsi="Arial" w:cs="Arial"/>
                <w:i/>
                <w:iCs/>
                <w:sz w:val="18"/>
                <w:szCs w:val="18"/>
                <w:lang w:val="en-ZA" w:eastAsia="en-ZA"/>
              </w:rPr>
            </w:pPr>
          </w:p>
        </w:tc>
      </w:tr>
      <w:tr w:rsidR="000D188B" w:rsidRPr="00E90C0E" w:rsidTr="000D188B">
        <w:trPr>
          <w:trHeight w:val="48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43E79" w:rsidRPr="00E90C0E" w:rsidRDefault="00843E79" w:rsidP="00491917">
            <w:pPr>
              <w:spacing w:after="0" w:line="240" w:lineRule="auto"/>
              <w:jc w:val="both"/>
              <w:rPr>
                <w:rFonts w:ascii="Arial" w:eastAsia="Times New Roman" w:hAnsi="Arial" w:cs="Arial"/>
                <w:b/>
                <w:bCs/>
                <w:sz w:val="18"/>
                <w:szCs w:val="18"/>
                <w:lang w:val="en-ZA" w:eastAsia="en-ZA"/>
              </w:rPr>
            </w:pPr>
          </w:p>
          <w:p w:rsidR="00843E79" w:rsidRPr="00E90C0E" w:rsidRDefault="00843E79" w:rsidP="00491917">
            <w:pPr>
              <w:spacing w:after="0" w:line="240" w:lineRule="auto"/>
              <w:jc w:val="both"/>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Total Expenditure</w:t>
            </w:r>
          </w:p>
        </w:tc>
        <w:tc>
          <w:tcPr>
            <w:tcW w:w="1276" w:type="dxa"/>
            <w:tcBorders>
              <w:top w:val="nil"/>
              <w:left w:val="nil"/>
              <w:bottom w:val="single" w:sz="4" w:space="0" w:color="auto"/>
              <w:right w:val="single" w:sz="4" w:space="0" w:color="auto"/>
            </w:tcBorders>
            <w:shd w:val="clear" w:color="auto" w:fill="000000" w:themeFill="text1"/>
            <w:noWrap/>
            <w:vAlign w:val="center"/>
            <w:hideMark/>
          </w:tcPr>
          <w:p w:rsidR="00843E79" w:rsidRPr="00E90C0E" w:rsidRDefault="00843E79" w:rsidP="000D188B">
            <w:pPr>
              <w:spacing w:after="0" w:line="240" w:lineRule="auto"/>
              <w:jc w:val="both"/>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 xml:space="preserve"> </w:t>
            </w:r>
            <w:r w:rsidR="000D188B" w:rsidRPr="00E90C0E">
              <w:rPr>
                <w:rFonts w:ascii="Arial" w:eastAsia="Times New Roman" w:hAnsi="Arial" w:cs="Arial"/>
                <w:b/>
                <w:bCs/>
                <w:sz w:val="18"/>
                <w:szCs w:val="18"/>
                <w:lang w:val="en-ZA" w:eastAsia="en-ZA"/>
              </w:rPr>
              <w:t>45 887 856</w:t>
            </w:r>
            <w:r w:rsidRPr="00E90C0E">
              <w:rPr>
                <w:rFonts w:ascii="Arial" w:eastAsia="Times New Roman" w:hAnsi="Arial" w:cs="Arial"/>
                <w:b/>
                <w:bCs/>
                <w:sz w:val="18"/>
                <w:szCs w:val="18"/>
                <w:lang w:val="en-ZA" w:eastAsia="en-ZA"/>
              </w:rPr>
              <w:t xml:space="preserve"> </w:t>
            </w:r>
          </w:p>
        </w:tc>
        <w:tc>
          <w:tcPr>
            <w:tcW w:w="1275" w:type="dxa"/>
            <w:tcBorders>
              <w:top w:val="nil"/>
              <w:left w:val="nil"/>
              <w:bottom w:val="single" w:sz="4" w:space="0" w:color="auto"/>
              <w:right w:val="single" w:sz="4" w:space="0" w:color="auto"/>
            </w:tcBorders>
            <w:shd w:val="clear" w:color="auto" w:fill="000000" w:themeFill="text1"/>
            <w:noWrap/>
            <w:vAlign w:val="center"/>
            <w:hideMark/>
          </w:tcPr>
          <w:p w:rsidR="00843E79" w:rsidRPr="00E90C0E" w:rsidRDefault="00843E79" w:rsidP="000D188B">
            <w:pPr>
              <w:spacing w:after="0" w:line="240" w:lineRule="auto"/>
              <w:jc w:val="both"/>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 xml:space="preserve"> </w:t>
            </w:r>
            <w:r w:rsidR="000D188B" w:rsidRPr="00E90C0E">
              <w:rPr>
                <w:rFonts w:ascii="Arial" w:eastAsia="Times New Roman" w:hAnsi="Arial" w:cs="Arial"/>
                <w:b/>
                <w:bCs/>
                <w:sz w:val="18"/>
                <w:szCs w:val="18"/>
                <w:lang w:val="en-ZA" w:eastAsia="en-ZA"/>
              </w:rPr>
              <w:t>15 686 219</w:t>
            </w:r>
            <w:r w:rsidRPr="00E90C0E">
              <w:rPr>
                <w:rFonts w:ascii="Arial" w:eastAsia="Times New Roman" w:hAnsi="Arial" w:cs="Arial"/>
                <w:b/>
                <w:bCs/>
                <w:sz w:val="18"/>
                <w:szCs w:val="18"/>
                <w:lang w:val="en-ZA" w:eastAsia="en-ZA"/>
              </w:rPr>
              <w:t xml:space="preserve"> </w:t>
            </w:r>
          </w:p>
        </w:tc>
        <w:tc>
          <w:tcPr>
            <w:tcW w:w="1134" w:type="dxa"/>
            <w:tcBorders>
              <w:top w:val="nil"/>
              <w:left w:val="nil"/>
              <w:bottom w:val="single" w:sz="4" w:space="0" w:color="auto"/>
              <w:right w:val="single" w:sz="4" w:space="0" w:color="auto"/>
            </w:tcBorders>
            <w:shd w:val="clear" w:color="auto" w:fill="000000" w:themeFill="text1"/>
            <w:noWrap/>
            <w:vAlign w:val="center"/>
            <w:hideMark/>
          </w:tcPr>
          <w:p w:rsidR="00843E79" w:rsidRPr="00E90C0E" w:rsidRDefault="000D188B" w:rsidP="00491917">
            <w:pPr>
              <w:spacing w:after="0" w:line="240" w:lineRule="auto"/>
              <w:jc w:val="center"/>
              <w:rPr>
                <w:rFonts w:ascii="Arial" w:eastAsia="Times New Roman" w:hAnsi="Arial" w:cs="Arial"/>
                <w:b/>
                <w:bCs/>
                <w:sz w:val="18"/>
                <w:szCs w:val="18"/>
                <w:lang w:val="en-ZA" w:eastAsia="en-ZA"/>
              </w:rPr>
            </w:pPr>
            <w:r w:rsidRPr="00E90C0E">
              <w:rPr>
                <w:rFonts w:ascii="Arial" w:eastAsia="Times New Roman" w:hAnsi="Arial" w:cs="Arial"/>
                <w:b/>
                <w:bCs/>
                <w:sz w:val="18"/>
                <w:szCs w:val="18"/>
                <w:lang w:val="en-ZA" w:eastAsia="en-ZA"/>
              </w:rPr>
              <w:t>34%</w:t>
            </w:r>
          </w:p>
        </w:tc>
        <w:tc>
          <w:tcPr>
            <w:tcW w:w="3119" w:type="dxa"/>
            <w:vMerge/>
            <w:tcBorders>
              <w:left w:val="nil"/>
              <w:bottom w:val="single" w:sz="4" w:space="0" w:color="auto"/>
              <w:right w:val="single" w:sz="4" w:space="0" w:color="auto"/>
            </w:tcBorders>
            <w:shd w:val="clear" w:color="000000" w:fill="92D050"/>
          </w:tcPr>
          <w:p w:rsidR="00843E79" w:rsidRPr="00E90C0E" w:rsidRDefault="00843E79" w:rsidP="00491917">
            <w:pPr>
              <w:spacing w:after="0" w:line="240" w:lineRule="auto"/>
              <w:jc w:val="center"/>
              <w:rPr>
                <w:rFonts w:ascii="Arial" w:eastAsia="Times New Roman" w:hAnsi="Arial" w:cs="Arial"/>
                <w:b/>
                <w:bCs/>
                <w:sz w:val="18"/>
                <w:szCs w:val="18"/>
                <w:lang w:val="en-ZA" w:eastAsia="en-ZA"/>
              </w:rPr>
            </w:pPr>
          </w:p>
        </w:tc>
      </w:tr>
    </w:tbl>
    <w:p w:rsidR="00D71151" w:rsidRDefault="00D71151" w:rsidP="00313AD7">
      <w:pPr>
        <w:spacing w:line="360" w:lineRule="auto"/>
        <w:jc w:val="both"/>
        <w:rPr>
          <w:rFonts w:ascii="Arial" w:hAnsi="Arial" w:cs="Arial"/>
          <w:sz w:val="20"/>
          <w:szCs w:val="20"/>
        </w:rPr>
      </w:pPr>
    </w:p>
    <w:p w:rsidR="00B2338B" w:rsidRDefault="00D71151" w:rsidP="00313AD7">
      <w:pPr>
        <w:spacing w:line="360" w:lineRule="auto"/>
        <w:jc w:val="both"/>
        <w:rPr>
          <w:rFonts w:ascii="Arial" w:hAnsi="Arial" w:cs="Arial"/>
          <w:sz w:val="20"/>
          <w:szCs w:val="20"/>
        </w:rPr>
      </w:pPr>
      <w:r>
        <w:rPr>
          <w:rFonts w:ascii="Arial" w:hAnsi="Arial" w:cs="Arial"/>
          <w:sz w:val="20"/>
          <w:szCs w:val="20"/>
        </w:rPr>
        <w:t xml:space="preserve">The performance can be attributed to performance of </w:t>
      </w:r>
      <w:proofErr w:type="spellStart"/>
      <w:r>
        <w:rPr>
          <w:rFonts w:ascii="Arial" w:hAnsi="Arial" w:cs="Arial"/>
          <w:sz w:val="20"/>
          <w:szCs w:val="20"/>
        </w:rPr>
        <w:t>staretgic</w:t>
      </w:r>
      <w:proofErr w:type="spellEnd"/>
      <w:r>
        <w:rPr>
          <w:rFonts w:ascii="Arial" w:hAnsi="Arial" w:cs="Arial"/>
          <w:sz w:val="20"/>
          <w:szCs w:val="20"/>
        </w:rPr>
        <w:t xml:space="preserve"> goal objectives as indicated in the summary table below:</w:t>
      </w:r>
    </w:p>
    <w:p w:rsidR="00A32EB6" w:rsidRPr="00A74411" w:rsidRDefault="00B54747" w:rsidP="00055BE5">
      <w:pPr>
        <w:spacing w:line="360" w:lineRule="auto"/>
        <w:jc w:val="both"/>
        <w:rPr>
          <w:rFonts w:ascii="Arial" w:hAnsi="Arial" w:cs="Arial"/>
          <w:b/>
          <w:u w:val="single"/>
        </w:rPr>
      </w:pPr>
      <w:r w:rsidRPr="00B54747">
        <w:rPr>
          <w:noProof/>
          <w:lang w:val="en-ZA" w:eastAsia="en-ZA"/>
        </w:rPr>
        <w:drawing>
          <wp:inline distT="0" distB="0" distL="0" distR="0">
            <wp:extent cx="5915025" cy="2942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885" cy="2947495"/>
                    </a:xfrm>
                    <a:prstGeom prst="rect">
                      <a:avLst/>
                    </a:prstGeom>
                    <a:noFill/>
                    <a:ln>
                      <a:noFill/>
                    </a:ln>
                  </pic:spPr>
                </pic:pic>
              </a:graphicData>
            </a:graphic>
          </wp:inline>
        </w:drawing>
      </w:r>
    </w:p>
    <w:p w:rsidR="00D71151" w:rsidRDefault="00C67585" w:rsidP="00055BE5">
      <w:pPr>
        <w:spacing w:line="360" w:lineRule="auto"/>
        <w:jc w:val="both"/>
        <w:rPr>
          <w:rFonts w:ascii="Arial" w:hAnsi="Arial" w:cs="Arial"/>
          <w:sz w:val="20"/>
          <w:szCs w:val="20"/>
        </w:rPr>
      </w:pPr>
      <w:r>
        <w:rPr>
          <w:rFonts w:ascii="Arial" w:hAnsi="Arial" w:cs="Arial"/>
          <w:sz w:val="20"/>
          <w:szCs w:val="20"/>
        </w:rPr>
        <w:t xml:space="preserve">The performance by </w:t>
      </w:r>
      <w:proofErr w:type="spellStart"/>
      <w:r>
        <w:rPr>
          <w:rFonts w:ascii="Arial" w:hAnsi="Arial" w:cs="Arial"/>
          <w:sz w:val="20"/>
          <w:szCs w:val="20"/>
        </w:rPr>
        <w:t>programme</w:t>
      </w:r>
      <w:proofErr w:type="spellEnd"/>
      <w:r>
        <w:rPr>
          <w:rFonts w:ascii="Arial" w:hAnsi="Arial" w:cs="Arial"/>
          <w:sz w:val="20"/>
          <w:szCs w:val="20"/>
        </w:rPr>
        <w:t xml:space="preserve"> can be summarized</w:t>
      </w:r>
      <w:r w:rsidR="003D7B0D">
        <w:rPr>
          <w:rFonts w:ascii="Arial" w:hAnsi="Arial" w:cs="Arial"/>
          <w:sz w:val="20"/>
          <w:szCs w:val="20"/>
        </w:rPr>
        <w:t xml:space="preserve"> as follows:</w:t>
      </w:r>
    </w:p>
    <w:p w:rsidR="00C67585" w:rsidRPr="00A32EB6" w:rsidRDefault="00C67585" w:rsidP="003D7B0D">
      <w:pPr>
        <w:pStyle w:val="ListParagraph"/>
        <w:numPr>
          <w:ilvl w:val="0"/>
          <w:numId w:val="16"/>
        </w:numPr>
        <w:spacing w:line="480" w:lineRule="auto"/>
        <w:ind w:left="567" w:hanging="567"/>
        <w:jc w:val="both"/>
        <w:rPr>
          <w:rFonts w:ascii="Arial" w:hAnsi="Arial" w:cs="Arial"/>
          <w:b/>
          <w:sz w:val="20"/>
          <w:szCs w:val="20"/>
        </w:rPr>
      </w:pPr>
      <w:r w:rsidRPr="00A32EB6">
        <w:rPr>
          <w:rFonts w:ascii="Arial" w:hAnsi="Arial" w:cs="Arial"/>
          <w:b/>
          <w:sz w:val="20"/>
          <w:szCs w:val="20"/>
        </w:rPr>
        <w:t>Creation of a viable and proficient organization</w:t>
      </w:r>
      <w:r w:rsidRPr="00A32EB6">
        <w:rPr>
          <w:rFonts w:ascii="Arial" w:hAnsi="Arial" w:cs="Arial"/>
          <w:b/>
          <w:sz w:val="20"/>
          <w:szCs w:val="20"/>
        </w:rPr>
        <w:tab/>
      </w:r>
      <w:r w:rsidRPr="00A32EB6">
        <w:rPr>
          <w:rFonts w:ascii="Arial" w:hAnsi="Arial" w:cs="Arial"/>
          <w:b/>
          <w:sz w:val="20"/>
          <w:szCs w:val="20"/>
        </w:rPr>
        <w:tab/>
      </w:r>
      <w:r w:rsidRPr="00A32EB6">
        <w:rPr>
          <w:rFonts w:ascii="Arial" w:hAnsi="Arial" w:cs="Arial"/>
          <w:b/>
          <w:sz w:val="20"/>
          <w:szCs w:val="20"/>
        </w:rPr>
        <w:tab/>
      </w:r>
      <w:r w:rsidR="00A32EB6">
        <w:rPr>
          <w:rFonts w:ascii="Arial" w:hAnsi="Arial" w:cs="Arial"/>
          <w:b/>
          <w:sz w:val="20"/>
          <w:szCs w:val="20"/>
        </w:rPr>
        <w:tab/>
      </w:r>
      <w:r w:rsidRPr="00A32EB6">
        <w:rPr>
          <w:rFonts w:ascii="Arial" w:hAnsi="Arial" w:cs="Arial"/>
          <w:b/>
          <w:sz w:val="20"/>
          <w:szCs w:val="20"/>
        </w:rPr>
        <w:t xml:space="preserve">- </w:t>
      </w:r>
      <w:r w:rsidR="00B54747">
        <w:rPr>
          <w:rFonts w:ascii="Arial" w:hAnsi="Arial" w:cs="Arial"/>
          <w:b/>
          <w:sz w:val="20"/>
          <w:szCs w:val="20"/>
        </w:rPr>
        <w:t>82</w:t>
      </w:r>
      <w:r w:rsidRPr="00A32EB6">
        <w:rPr>
          <w:rFonts w:ascii="Arial" w:hAnsi="Arial" w:cs="Arial"/>
          <w:b/>
          <w:sz w:val="20"/>
          <w:szCs w:val="20"/>
        </w:rPr>
        <w:t>% achieved</w:t>
      </w:r>
    </w:p>
    <w:p w:rsidR="00C67585" w:rsidRPr="00A32EB6" w:rsidRDefault="00C67585" w:rsidP="003D7B0D">
      <w:pPr>
        <w:pStyle w:val="ListParagraph"/>
        <w:numPr>
          <w:ilvl w:val="0"/>
          <w:numId w:val="16"/>
        </w:numPr>
        <w:spacing w:line="480" w:lineRule="auto"/>
        <w:ind w:left="567" w:hanging="567"/>
        <w:jc w:val="both"/>
        <w:rPr>
          <w:rFonts w:ascii="Arial" w:hAnsi="Arial" w:cs="Arial"/>
          <w:b/>
          <w:sz w:val="20"/>
          <w:szCs w:val="20"/>
        </w:rPr>
      </w:pPr>
      <w:r w:rsidRPr="00A32EB6">
        <w:rPr>
          <w:rFonts w:ascii="Arial" w:hAnsi="Arial" w:cs="Arial"/>
          <w:b/>
          <w:sz w:val="20"/>
          <w:szCs w:val="20"/>
        </w:rPr>
        <w:t xml:space="preserve">Creation of viable </w:t>
      </w:r>
      <w:r w:rsidR="00F73624">
        <w:rPr>
          <w:rFonts w:ascii="Arial" w:hAnsi="Arial" w:cs="Arial"/>
          <w:b/>
          <w:sz w:val="20"/>
          <w:szCs w:val="20"/>
        </w:rPr>
        <w:t xml:space="preserve">rural economies </w:t>
      </w:r>
      <w:r w:rsidRPr="00A32EB6">
        <w:rPr>
          <w:rFonts w:ascii="Arial" w:hAnsi="Arial" w:cs="Arial"/>
          <w:b/>
          <w:sz w:val="20"/>
          <w:szCs w:val="20"/>
        </w:rPr>
        <w:tab/>
      </w:r>
      <w:r w:rsidRPr="00A32EB6">
        <w:rPr>
          <w:rFonts w:ascii="Arial" w:hAnsi="Arial" w:cs="Arial"/>
          <w:b/>
          <w:sz w:val="20"/>
          <w:szCs w:val="20"/>
        </w:rPr>
        <w:tab/>
      </w:r>
      <w:r w:rsidRPr="00A32EB6">
        <w:rPr>
          <w:rFonts w:ascii="Arial" w:hAnsi="Arial" w:cs="Arial"/>
          <w:b/>
          <w:sz w:val="20"/>
          <w:szCs w:val="20"/>
        </w:rPr>
        <w:tab/>
      </w:r>
      <w:r w:rsidRPr="00A32EB6">
        <w:rPr>
          <w:rFonts w:ascii="Arial" w:hAnsi="Arial" w:cs="Arial"/>
          <w:b/>
          <w:sz w:val="20"/>
          <w:szCs w:val="20"/>
        </w:rPr>
        <w:tab/>
      </w:r>
      <w:r w:rsidR="00A32EB6">
        <w:rPr>
          <w:rFonts w:ascii="Arial" w:hAnsi="Arial" w:cs="Arial"/>
          <w:b/>
          <w:sz w:val="20"/>
          <w:szCs w:val="20"/>
        </w:rPr>
        <w:tab/>
      </w:r>
      <w:r w:rsidRPr="00A32EB6">
        <w:rPr>
          <w:rFonts w:ascii="Arial" w:hAnsi="Arial" w:cs="Arial"/>
          <w:b/>
          <w:sz w:val="20"/>
          <w:szCs w:val="20"/>
        </w:rPr>
        <w:t xml:space="preserve">- </w:t>
      </w:r>
      <w:r w:rsidR="00B54747">
        <w:rPr>
          <w:rFonts w:ascii="Arial" w:hAnsi="Arial" w:cs="Arial"/>
          <w:b/>
          <w:sz w:val="20"/>
          <w:szCs w:val="20"/>
        </w:rPr>
        <w:t>27</w:t>
      </w:r>
      <w:r w:rsidRPr="00A32EB6">
        <w:rPr>
          <w:rFonts w:ascii="Arial" w:hAnsi="Arial" w:cs="Arial"/>
          <w:b/>
          <w:sz w:val="20"/>
          <w:szCs w:val="20"/>
        </w:rPr>
        <w:t>% achieved</w:t>
      </w:r>
    </w:p>
    <w:p w:rsidR="00C67585" w:rsidRPr="00A32EB6" w:rsidRDefault="00F73624" w:rsidP="003D7B0D">
      <w:pPr>
        <w:pStyle w:val="ListParagraph"/>
        <w:numPr>
          <w:ilvl w:val="0"/>
          <w:numId w:val="16"/>
        </w:numPr>
        <w:spacing w:line="480" w:lineRule="auto"/>
        <w:ind w:left="567" w:hanging="567"/>
        <w:jc w:val="both"/>
        <w:rPr>
          <w:rFonts w:ascii="Arial" w:hAnsi="Arial" w:cs="Arial"/>
          <w:b/>
          <w:sz w:val="20"/>
          <w:szCs w:val="20"/>
        </w:rPr>
      </w:pPr>
      <w:r w:rsidRPr="00A32EB6">
        <w:rPr>
          <w:rFonts w:ascii="Arial" w:hAnsi="Arial" w:cs="Arial"/>
          <w:b/>
          <w:sz w:val="20"/>
          <w:szCs w:val="20"/>
        </w:rPr>
        <w:t xml:space="preserve">Investment promotion, enterprise </w:t>
      </w:r>
      <w:r>
        <w:rPr>
          <w:rFonts w:ascii="Arial" w:hAnsi="Arial" w:cs="Arial"/>
          <w:b/>
          <w:sz w:val="20"/>
          <w:szCs w:val="20"/>
        </w:rPr>
        <w:t xml:space="preserve">development and job creation </w:t>
      </w:r>
      <w:r>
        <w:rPr>
          <w:rFonts w:ascii="Arial" w:hAnsi="Arial" w:cs="Arial"/>
          <w:b/>
          <w:sz w:val="20"/>
          <w:szCs w:val="20"/>
        </w:rPr>
        <w:tab/>
        <w:t xml:space="preserve">- </w:t>
      </w:r>
      <w:r w:rsidR="00B54747">
        <w:rPr>
          <w:rFonts w:ascii="Arial" w:hAnsi="Arial" w:cs="Arial"/>
          <w:b/>
          <w:sz w:val="20"/>
          <w:szCs w:val="20"/>
        </w:rPr>
        <w:t>0</w:t>
      </w:r>
      <w:r w:rsidR="00C67585" w:rsidRPr="00A32EB6">
        <w:rPr>
          <w:rFonts w:ascii="Arial" w:hAnsi="Arial" w:cs="Arial"/>
          <w:b/>
          <w:sz w:val="20"/>
          <w:szCs w:val="20"/>
        </w:rPr>
        <w:t>% achieved</w:t>
      </w:r>
    </w:p>
    <w:p w:rsidR="00C67585" w:rsidRPr="00A32EB6" w:rsidRDefault="00F73624" w:rsidP="003D7B0D">
      <w:pPr>
        <w:pStyle w:val="ListParagraph"/>
        <w:numPr>
          <w:ilvl w:val="0"/>
          <w:numId w:val="16"/>
        </w:numPr>
        <w:spacing w:line="480" w:lineRule="auto"/>
        <w:ind w:left="567" w:hanging="567"/>
        <w:jc w:val="both"/>
        <w:rPr>
          <w:rFonts w:ascii="Arial" w:hAnsi="Arial" w:cs="Arial"/>
          <w:b/>
          <w:sz w:val="20"/>
          <w:szCs w:val="20"/>
        </w:rPr>
      </w:pPr>
      <w:r w:rsidRPr="00A32EB6">
        <w:rPr>
          <w:rFonts w:ascii="Arial" w:hAnsi="Arial" w:cs="Arial"/>
          <w:b/>
          <w:sz w:val="20"/>
          <w:szCs w:val="20"/>
        </w:rPr>
        <w:t>Development of sector specific scarce skills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B54747">
        <w:rPr>
          <w:rFonts w:ascii="Arial" w:hAnsi="Arial" w:cs="Arial"/>
          <w:b/>
          <w:sz w:val="20"/>
          <w:szCs w:val="20"/>
        </w:rPr>
        <w:t>88</w:t>
      </w:r>
      <w:r w:rsidR="00C67585" w:rsidRPr="00A32EB6">
        <w:rPr>
          <w:rFonts w:ascii="Arial" w:hAnsi="Arial" w:cs="Arial"/>
          <w:b/>
          <w:sz w:val="20"/>
          <w:szCs w:val="20"/>
        </w:rPr>
        <w:t>% achieved</w:t>
      </w:r>
    </w:p>
    <w:p w:rsidR="00B2338B" w:rsidRPr="00B54747" w:rsidRDefault="00A92727" w:rsidP="00B54747">
      <w:pPr>
        <w:pStyle w:val="ListParagraph"/>
        <w:numPr>
          <w:ilvl w:val="0"/>
          <w:numId w:val="16"/>
        </w:numPr>
        <w:spacing w:line="480" w:lineRule="auto"/>
        <w:ind w:left="567" w:hanging="567"/>
        <w:jc w:val="both"/>
        <w:rPr>
          <w:rFonts w:ascii="Arial" w:hAnsi="Arial" w:cs="Arial"/>
          <w:b/>
          <w:sz w:val="20"/>
          <w:szCs w:val="20"/>
        </w:rPr>
      </w:pPr>
      <w:r>
        <w:rPr>
          <w:rFonts w:ascii="Arial" w:hAnsi="Arial" w:cs="Arial"/>
          <w:b/>
          <w:sz w:val="20"/>
          <w:szCs w:val="20"/>
        </w:rPr>
        <w:t xml:space="preserve">Stakeholder and community </w:t>
      </w:r>
      <w:r w:rsidR="00C67585" w:rsidRPr="00A32EB6">
        <w:rPr>
          <w:rFonts w:ascii="Arial" w:hAnsi="Arial" w:cs="Arial"/>
          <w:b/>
          <w:sz w:val="20"/>
          <w:szCs w:val="20"/>
        </w:rPr>
        <w:t xml:space="preserve"> engagement</w:t>
      </w:r>
      <w:r w:rsidR="00C67585" w:rsidRPr="00A32EB6">
        <w:rPr>
          <w:rFonts w:ascii="Arial" w:hAnsi="Arial" w:cs="Arial"/>
          <w:b/>
          <w:sz w:val="20"/>
          <w:szCs w:val="20"/>
        </w:rPr>
        <w:tab/>
      </w:r>
      <w:r w:rsidR="00C67585" w:rsidRPr="00A32EB6">
        <w:rPr>
          <w:rFonts w:ascii="Arial" w:hAnsi="Arial" w:cs="Arial"/>
          <w:b/>
          <w:sz w:val="20"/>
          <w:szCs w:val="20"/>
        </w:rPr>
        <w:tab/>
      </w:r>
      <w:r w:rsidR="00C67585" w:rsidRPr="00A32EB6">
        <w:rPr>
          <w:rFonts w:ascii="Arial" w:hAnsi="Arial" w:cs="Arial"/>
          <w:b/>
          <w:sz w:val="20"/>
          <w:szCs w:val="20"/>
        </w:rPr>
        <w:tab/>
      </w:r>
      <w:r w:rsidR="00A32EB6">
        <w:rPr>
          <w:rFonts w:ascii="Arial" w:hAnsi="Arial" w:cs="Arial"/>
          <w:b/>
          <w:sz w:val="20"/>
          <w:szCs w:val="20"/>
        </w:rPr>
        <w:tab/>
      </w:r>
      <w:r w:rsidR="00C67585" w:rsidRPr="00A32EB6">
        <w:rPr>
          <w:rFonts w:ascii="Arial" w:hAnsi="Arial" w:cs="Arial"/>
          <w:b/>
          <w:sz w:val="20"/>
          <w:szCs w:val="20"/>
        </w:rPr>
        <w:t xml:space="preserve">- </w:t>
      </w:r>
      <w:r w:rsidR="00B54747">
        <w:rPr>
          <w:rFonts w:ascii="Arial" w:hAnsi="Arial" w:cs="Arial"/>
          <w:b/>
          <w:sz w:val="20"/>
          <w:szCs w:val="20"/>
        </w:rPr>
        <w:t>100</w:t>
      </w:r>
      <w:r w:rsidR="00C67585" w:rsidRPr="00A32EB6">
        <w:rPr>
          <w:rFonts w:ascii="Arial" w:hAnsi="Arial" w:cs="Arial"/>
          <w:b/>
          <w:sz w:val="20"/>
          <w:szCs w:val="20"/>
        </w:rPr>
        <w:t>% achieved</w:t>
      </w:r>
    </w:p>
    <w:p w:rsidR="00372639" w:rsidRPr="00D71151" w:rsidRDefault="00D71151" w:rsidP="00D7115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FF0000"/>
          <w:sz w:val="20"/>
          <w:szCs w:val="20"/>
        </w:rPr>
      </w:pPr>
      <w:r w:rsidRPr="00D71151">
        <w:rPr>
          <w:rFonts w:ascii="Arial" w:hAnsi="Arial" w:cs="Arial"/>
          <w:b/>
          <w:color w:val="FF0000"/>
          <w:sz w:val="20"/>
          <w:szCs w:val="20"/>
        </w:rPr>
        <w:lastRenderedPageBreak/>
        <w:t>The above summary indicates that the Viable Agricultural Clusters and Investment Promotion strategic areas die not perform well in Quarter2, having not achieved 64% and 50% of set quarterly targets respectively, as well as being the lowest performers with realization of 27% and 0% of scheduled deliverables in the reporting period.</w:t>
      </w:r>
    </w:p>
    <w:p w:rsidR="00B2338B" w:rsidRDefault="00B2338B" w:rsidP="00584E93">
      <w:pPr>
        <w:spacing w:line="360" w:lineRule="auto"/>
        <w:jc w:val="both"/>
        <w:rPr>
          <w:rFonts w:ascii="Arial" w:hAnsi="Arial" w:cs="Arial"/>
          <w:sz w:val="20"/>
          <w:szCs w:val="20"/>
        </w:rPr>
      </w:pPr>
    </w:p>
    <w:p w:rsidR="007B40AC" w:rsidRPr="007151B4" w:rsidRDefault="00D934F6" w:rsidP="00D934F6">
      <w:pPr>
        <w:spacing w:line="360" w:lineRule="auto"/>
        <w:jc w:val="both"/>
        <w:rPr>
          <w:rFonts w:ascii="Arial" w:hAnsi="Arial" w:cs="Arial"/>
          <w:b/>
          <w:sz w:val="20"/>
          <w:szCs w:val="20"/>
        </w:rPr>
        <w:sectPr w:rsidR="007B40AC" w:rsidRPr="007151B4" w:rsidSect="00F0225F">
          <w:footerReference w:type="default" r:id="rId11"/>
          <w:pgSz w:w="11906" w:h="16838"/>
          <w:pgMar w:top="851" w:right="991" w:bottom="426" w:left="1440" w:header="708" w:footer="393" w:gutter="0"/>
          <w:cols w:space="708"/>
          <w:docGrid w:linePitch="360"/>
        </w:sectPr>
      </w:pPr>
      <w:r w:rsidRPr="007151B4">
        <w:rPr>
          <w:rFonts w:ascii="Arial" w:hAnsi="Arial" w:cs="Arial"/>
          <w:b/>
          <w:sz w:val="20"/>
          <w:szCs w:val="20"/>
        </w:rPr>
        <w:t>To illustrate, an overview of the planned deliverables for the year 2017-18 has been conducted, and actual performance of targets by end of December (midyear) shows a similar scenario as follows:</w:t>
      </w:r>
    </w:p>
    <w:p w:rsidR="00D934F6" w:rsidRDefault="007B40AC" w:rsidP="007B40AC">
      <w:pPr>
        <w:spacing w:line="360" w:lineRule="auto"/>
        <w:ind w:firstLine="284"/>
        <w:jc w:val="both"/>
        <w:rPr>
          <w:rFonts w:ascii="Arial" w:hAnsi="Arial" w:cs="Arial"/>
          <w:sz w:val="20"/>
          <w:szCs w:val="20"/>
        </w:rPr>
      </w:pPr>
      <w:r w:rsidRPr="007B40AC">
        <w:rPr>
          <w:noProof/>
          <w:lang w:val="en-ZA" w:eastAsia="en-ZA"/>
        </w:rPr>
        <w:lastRenderedPageBreak/>
        <w:drawing>
          <wp:inline distT="0" distB="0" distL="0" distR="0">
            <wp:extent cx="8201025" cy="2400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1025" cy="2400300"/>
                    </a:xfrm>
                    <a:prstGeom prst="rect">
                      <a:avLst/>
                    </a:prstGeom>
                    <a:noFill/>
                    <a:ln>
                      <a:noFill/>
                    </a:ln>
                  </pic:spPr>
                </pic:pic>
              </a:graphicData>
            </a:graphic>
          </wp:inline>
        </w:drawing>
      </w:r>
    </w:p>
    <w:p w:rsidR="007B40AC" w:rsidRDefault="007B40AC" w:rsidP="00D934F6">
      <w:pPr>
        <w:spacing w:line="360" w:lineRule="auto"/>
        <w:jc w:val="both"/>
        <w:rPr>
          <w:rFonts w:ascii="Arial" w:hAnsi="Arial" w:cs="Arial"/>
          <w:sz w:val="20"/>
          <w:szCs w:val="20"/>
        </w:rPr>
      </w:pPr>
      <w:bookmarkStart w:id="0" w:name="_GoBack"/>
      <w:bookmarkEnd w:id="0"/>
    </w:p>
    <w:p w:rsidR="007B40AC" w:rsidRDefault="007B40AC" w:rsidP="007B40AC">
      <w:pPr>
        <w:spacing w:line="360" w:lineRule="auto"/>
        <w:ind w:firstLine="284"/>
        <w:jc w:val="both"/>
        <w:rPr>
          <w:rFonts w:ascii="Arial" w:hAnsi="Arial" w:cs="Arial"/>
          <w:sz w:val="20"/>
          <w:szCs w:val="20"/>
        </w:rPr>
      </w:pPr>
      <w:r>
        <w:rPr>
          <w:rFonts w:ascii="Arial" w:hAnsi="Arial" w:cs="Arial"/>
          <w:sz w:val="20"/>
          <w:szCs w:val="20"/>
        </w:rPr>
        <w:t>The table above clearly support the results reported for Quarter2, where the midyear overview across all planned organizational targets indicates that:</w:t>
      </w:r>
    </w:p>
    <w:p w:rsidR="007B40AC" w:rsidRDefault="007B40AC" w:rsidP="00D934F6">
      <w:pPr>
        <w:spacing w:line="360" w:lineRule="auto"/>
        <w:jc w:val="both"/>
        <w:rPr>
          <w:rFonts w:ascii="Arial" w:hAnsi="Arial" w:cs="Arial"/>
          <w:sz w:val="20"/>
          <w:szCs w:val="20"/>
        </w:rPr>
        <w:sectPr w:rsidR="007B40AC" w:rsidSect="00F0225F">
          <w:pgSz w:w="16838" w:h="11906" w:orient="landscape"/>
          <w:pgMar w:top="993" w:right="851" w:bottom="992" w:left="425" w:header="708" w:footer="393" w:gutter="0"/>
          <w:cols w:space="708"/>
          <w:docGrid w:linePitch="360"/>
        </w:sectPr>
      </w:pPr>
    </w:p>
    <w:p w:rsidR="00D934F6" w:rsidRDefault="00D934F6" w:rsidP="00D934F6">
      <w:pPr>
        <w:spacing w:line="360" w:lineRule="auto"/>
        <w:jc w:val="both"/>
        <w:rPr>
          <w:rFonts w:ascii="Arial" w:hAnsi="Arial" w:cs="Arial"/>
          <w:sz w:val="20"/>
          <w:szCs w:val="20"/>
        </w:rPr>
        <w:sectPr w:rsidR="00D934F6" w:rsidSect="00F0225F">
          <w:pgSz w:w="16838" w:h="11906" w:orient="landscape"/>
          <w:pgMar w:top="567" w:right="851" w:bottom="992" w:left="425" w:header="708" w:footer="393" w:gutter="0"/>
          <w:cols w:space="708"/>
          <w:docGrid w:linePitch="360"/>
        </w:sectPr>
      </w:pPr>
      <w:r w:rsidRPr="00D934F6">
        <w:rPr>
          <w:noProof/>
          <w:lang w:val="en-ZA" w:eastAsia="en-ZA"/>
        </w:rPr>
        <w:lastRenderedPageBreak/>
        <w:drawing>
          <wp:anchor distT="0" distB="0" distL="114300" distR="114300" simplePos="0" relativeHeight="251658240" behindDoc="0" locked="0" layoutInCell="1" allowOverlap="1">
            <wp:simplePos x="266700" y="361950"/>
            <wp:positionH relativeFrom="column">
              <wp:align>left</wp:align>
            </wp:positionH>
            <wp:positionV relativeFrom="paragraph">
              <wp:align>top</wp:align>
            </wp:positionV>
            <wp:extent cx="9881756" cy="6543675"/>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1756" cy="6543675"/>
                    </a:xfrm>
                    <a:prstGeom prst="rect">
                      <a:avLst/>
                    </a:prstGeom>
                    <a:noFill/>
                    <a:ln>
                      <a:noFill/>
                    </a:ln>
                  </pic:spPr>
                </pic:pic>
              </a:graphicData>
            </a:graphic>
          </wp:anchor>
        </w:drawing>
      </w:r>
    </w:p>
    <w:p w:rsidR="004D2E12" w:rsidRPr="009F118B" w:rsidRDefault="00687562" w:rsidP="004D2E12">
      <w:pPr>
        <w:spacing w:line="360" w:lineRule="auto"/>
        <w:jc w:val="both"/>
        <w:rPr>
          <w:rFonts w:ascii="Arial" w:hAnsi="Arial" w:cs="Arial"/>
          <w:b/>
          <w:u w:val="single"/>
        </w:rPr>
      </w:pPr>
      <w:r>
        <w:rPr>
          <w:rFonts w:ascii="Arial" w:hAnsi="Arial" w:cs="Arial"/>
          <w:b/>
          <w:u w:val="single"/>
        </w:rPr>
        <w:lastRenderedPageBreak/>
        <w:t>Quarter 2_2017-18</w:t>
      </w:r>
      <w:r w:rsidR="007151B4">
        <w:rPr>
          <w:rFonts w:ascii="Arial" w:hAnsi="Arial" w:cs="Arial"/>
          <w:b/>
          <w:u w:val="single"/>
        </w:rPr>
        <w:t xml:space="preserve">: </w:t>
      </w:r>
      <w:r w:rsidR="00584E93" w:rsidRPr="00584E93">
        <w:rPr>
          <w:rFonts w:ascii="Arial" w:hAnsi="Arial" w:cs="Arial"/>
          <w:b/>
          <w:u w:val="single"/>
        </w:rPr>
        <w:t xml:space="preserve">Summary </w:t>
      </w:r>
      <w:r w:rsidR="00584E93">
        <w:rPr>
          <w:rFonts w:ascii="Arial" w:hAnsi="Arial" w:cs="Arial"/>
          <w:b/>
          <w:u w:val="single"/>
        </w:rPr>
        <w:t>on Areas of Non-Performance</w:t>
      </w:r>
      <w:r w:rsidR="00C00357">
        <w:rPr>
          <w:rFonts w:ascii="Arial" w:hAnsi="Arial" w:cs="Arial"/>
          <w:b/>
          <w:u w:val="single"/>
        </w:rPr>
        <w:t>, and Expected Non-Performance for the Year</w:t>
      </w:r>
      <w:r w:rsidR="00584E93">
        <w:rPr>
          <w:rFonts w:ascii="Arial" w:hAnsi="Arial" w:cs="Arial"/>
          <w:b/>
          <w:u w:val="single"/>
        </w:rPr>
        <w:t>:</w:t>
      </w:r>
    </w:p>
    <w:p w:rsidR="00E45280" w:rsidRDefault="004D2E12" w:rsidP="004D2E12">
      <w:pPr>
        <w:spacing w:line="360" w:lineRule="auto"/>
        <w:jc w:val="both"/>
        <w:rPr>
          <w:rFonts w:ascii="Arial" w:hAnsi="Arial" w:cs="Arial"/>
          <w:sz w:val="20"/>
          <w:szCs w:val="20"/>
        </w:rPr>
      </w:pPr>
      <w:r>
        <w:rPr>
          <w:rFonts w:ascii="Arial" w:hAnsi="Arial" w:cs="Arial"/>
          <w:sz w:val="20"/>
          <w:szCs w:val="20"/>
        </w:rPr>
        <w:t>The key area</w:t>
      </w:r>
      <w:r w:rsidR="00FE4453">
        <w:rPr>
          <w:rFonts w:ascii="Arial" w:hAnsi="Arial" w:cs="Arial"/>
          <w:sz w:val="20"/>
          <w:szCs w:val="20"/>
        </w:rPr>
        <w:t>(</w:t>
      </w:r>
      <w:r>
        <w:rPr>
          <w:rFonts w:ascii="Arial" w:hAnsi="Arial" w:cs="Arial"/>
          <w:sz w:val="20"/>
          <w:szCs w:val="20"/>
        </w:rPr>
        <w:t>s</w:t>
      </w:r>
      <w:r w:rsidR="00FE4453">
        <w:rPr>
          <w:rFonts w:ascii="Arial" w:hAnsi="Arial" w:cs="Arial"/>
          <w:sz w:val="20"/>
          <w:szCs w:val="20"/>
        </w:rPr>
        <w:t>)</w:t>
      </w:r>
      <w:r>
        <w:rPr>
          <w:rFonts w:ascii="Arial" w:hAnsi="Arial" w:cs="Arial"/>
          <w:sz w:val="20"/>
          <w:szCs w:val="20"/>
        </w:rPr>
        <w:t xml:space="preserve"> of non-performance leading to the results in the summary table above have been tabled below for easy reference</w:t>
      </w:r>
      <w:r w:rsidR="00E25CD0">
        <w:rPr>
          <w:rFonts w:ascii="Arial" w:hAnsi="Arial" w:cs="Arial"/>
          <w:sz w:val="20"/>
          <w:szCs w:val="20"/>
        </w:rPr>
        <w:t xml:space="preserve">.  </w:t>
      </w:r>
    </w:p>
    <w:p w:rsidR="00687562" w:rsidRDefault="00687562" w:rsidP="004D2E12">
      <w:pPr>
        <w:spacing w:line="360" w:lineRule="auto"/>
        <w:jc w:val="both"/>
        <w:rPr>
          <w:rFonts w:ascii="Arial" w:hAnsi="Arial" w:cs="Arial"/>
          <w:sz w:val="20"/>
          <w:szCs w:val="20"/>
        </w:rPr>
      </w:pPr>
      <w:r w:rsidRPr="00687562">
        <w:drawing>
          <wp:inline distT="0" distB="0" distL="0" distR="0">
            <wp:extent cx="9744075" cy="42494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4426" cy="4249573"/>
                    </a:xfrm>
                    <a:prstGeom prst="rect">
                      <a:avLst/>
                    </a:prstGeom>
                    <a:noFill/>
                    <a:ln>
                      <a:noFill/>
                    </a:ln>
                  </pic:spPr>
                </pic:pic>
              </a:graphicData>
            </a:graphic>
          </wp:inline>
        </w:drawing>
      </w:r>
    </w:p>
    <w:p w:rsidR="00687562" w:rsidRDefault="00687562" w:rsidP="004D2E12">
      <w:pPr>
        <w:spacing w:line="360" w:lineRule="auto"/>
        <w:jc w:val="both"/>
        <w:rPr>
          <w:rFonts w:ascii="Arial" w:hAnsi="Arial" w:cs="Arial"/>
          <w:sz w:val="20"/>
          <w:szCs w:val="20"/>
        </w:rPr>
      </w:pPr>
    </w:p>
    <w:p w:rsidR="00687562" w:rsidRDefault="00687562" w:rsidP="00687562">
      <w:pPr>
        <w:spacing w:line="360" w:lineRule="auto"/>
        <w:jc w:val="both"/>
        <w:rPr>
          <w:rFonts w:ascii="Arial" w:hAnsi="Arial" w:cs="Arial"/>
          <w:sz w:val="20"/>
          <w:szCs w:val="20"/>
        </w:rPr>
      </w:pPr>
      <w:r>
        <w:rPr>
          <w:rFonts w:ascii="Arial" w:hAnsi="Arial" w:cs="Arial"/>
          <w:sz w:val="20"/>
          <w:szCs w:val="20"/>
        </w:rPr>
        <w:t xml:space="preserve">The table </w:t>
      </w:r>
      <w:r>
        <w:rPr>
          <w:rFonts w:ascii="Arial" w:hAnsi="Arial" w:cs="Arial"/>
          <w:sz w:val="20"/>
          <w:szCs w:val="20"/>
        </w:rPr>
        <w:t xml:space="preserve">below details </w:t>
      </w:r>
      <w:r>
        <w:rPr>
          <w:rFonts w:ascii="Arial" w:hAnsi="Arial" w:cs="Arial"/>
          <w:sz w:val="20"/>
          <w:szCs w:val="20"/>
        </w:rPr>
        <w:t>areas of non-performance, progress to remedial action and anticipated level of confidence in target being achieved by end June 2018.</w:t>
      </w:r>
    </w:p>
    <w:p w:rsidR="00687562" w:rsidRDefault="00687562" w:rsidP="004D2E12">
      <w:pPr>
        <w:spacing w:line="360" w:lineRule="auto"/>
        <w:jc w:val="both"/>
        <w:rPr>
          <w:rFonts w:ascii="Arial" w:hAnsi="Arial" w:cs="Arial"/>
          <w:sz w:val="20"/>
          <w:szCs w:val="20"/>
        </w:rPr>
      </w:pPr>
    </w:p>
    <w:p w:rsidR="00687562" w:rsidRDefault="00687562" w:rsidP="004D2E12">
      <w:pPr>
        <w:spacing w:line="360" w:lineRule="auto"/>
        <w:jc w:val="both"/>
        <w:rPr>
          <w:rFonts w:ascii="Arial" w:hAnsi="Arial" w:cs="Arial"/>
          <w:sz w:val="20"/>
          <w:szCs w:val="20"/>
        </w:rPr>
      </w:pPr>
    </w:p>
    <w:p w:rsidR="00687562" w:rsidRDefault="00687562" w:rsidP="004D2E12">
      <w:pPr>
        <w:spacing w:line="360" w:lineRule="auto"/>
        <w:jc w:val="both"/>
        <w:rPr>
          <w:rFonts w:ascii="Arial" w:hAnsi="Arial" w:cs="Arial"/>
          <w:sz w:val="20"/>
          <w:szCs w:val="20"/>
        </w:rPr>
      </w:pP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378"/>
        <w:gridCol w:w="2445"/>
        <w:gridCol w:w="2693"/>
        <w:gridCol w:w="2977"/>
        <w:gridCol w:w="3969"/>
        <w:gridCol w:w="2409"/>
      </w:tblGrid>
      <w:tr w:rsidR="00AD56DE" w:rsidRPr="008A5AE5" w:rsidTr="004110B0">
        <w:trPr>
          <w:trHeight w:val="647"/>
        </w:trPr>
        <w:tc>
          <w:tcPr>
            <w:tcW w:w="1378" w:type="dxa"/>
            <w:shd w:val="clear" w:color="auto" w:fill="595959" w:themeFill="text1" w:themeFillTint="A6"/>
          </w:tcPr>
          <w:p w:rsidR="00AD56DE" w:rsidRPr="008A5AE5" w:rsidRDefault="00AD56DE" w:rsidP="00B92609">
            <w:pPr>
              <w:spacing w:line="360" w:lineRule="auto"/>
              <w:rPr>
                <w:rFonts w:ascii="Arial" w:hAnsi="Arial" w:cs="Arial"/>
                <w:b/>
                <w:color w:val="FFFFFF" w:themeColor="background1"/>
                <w:sz w:val="19"/>
                <w:szCs w:val="19"/>
              </w:rPr>
            </w:pPr>
            <w:proofErr w:type="spellStart"/>
            <w:r>
              <w:rPr>
                <w:rFonts w:ascii="Arial" w:hAnsi="Arial" w:cs="Arial"/>
                <w:b/>
                <w:color w:val="FFFFFF" w:themeColor="background1"/>
                <w:sz w:val="19"/>
                <w:szCs w:val="19"/>
              </w:rPr>
              <w:t>Programme</w:t>
            </w:r>
            <w:proofErr w:type="spellEnd"/>
          </w:p>
        </w:tc>
        <w:tc>
          <w:tcPr>
            <w:tcW w:w="2445" w:type="dxa"/>
            <w:shd w:val="clear" w:color="auto" w:fill="595959" w:themeFill="text1" w:themeFillTint="A6"/>
          </w:tcPr>
          <w:p w:rsidR="00AD56DE" w:rsidRPr="008A5AE5" w:rsidRDefault="00AD56DE" w:rsidP="00B92609">
            <w:pPr>
              <w:spacing w:line="360" w:lineRule="auto"/>
              <w:rPr>
                <w:rFonts w:ascii="Arial" w:hAnsi="Arial" w:cs="Arial"/>
                <w:b/>
                <w:color w:val="FFFFFF" w:themeColor="background1"/>
                <w:sz w:val="19"/>
                <w:szCs w:val="19"/>
              </w:rPr>
            </w:pPr>
            <w:r w:rsidRPr="008A5AE5">
              <w:rPr>
                <w:rFonts w:ascii="Arial" w:hAnsi="Arial" w:cs="Arial"/>
                <w:b/>
                <w:color w:val="FFFFFF" w:themeColor="background1"/>
                <w:sz w:val="19"/>
                <w:szCs w:val="19"/>
              </w:rPr>
              <w:t>Performance</w:t>
            </w:r>
            <w:r>
              <w:rPr>
                <w:rFonts w:ascii="Arial" w:hAnsi="Arial" w:cs="Arial"/>
                <w:b/>
                <w:color w:val="FFFFFF" w:themeColor="background1"/>
                <w:sz w:val="19"/>
                <w:szCs w:val="19"/>
              </w:rPr>
              <w:t xml:space="preserve"> Area</w:t>
            </w:r>
          </w:p>
        </w:tc>
        <w:tc>
          <w:tcPr>
            <w:tcW w:w="2693" w:type="dxa"/>
            <w:shd w:val="clear" w:color="auto" w:fill="595959" w:themeFill="text1" w:themeFillTint="A6"/>
          </w:tcPr>
          <w:p w:rsidR="00AD56DE" w:rsidRPr="008A5AE5" w:rsidRDefault="00AD56DE" w:rsidP="00AD56DE">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Status at Midyear</w:t>
            </w:r>
          </w:p>
        </w:tc>
        <w:tc>
          <w:tcPr>
            <w:tcW w:w="2977" w:type="dxa"/>
            <w:shd w:val="clear" w:color="auto" w:fill="595959" w:themeFill="text1" w:themeFillTint="A6"/>
          </w:tcPr>
          <w:p w:rsidR="00AD56DE" w:rsidRPr="008A5AE5" w:rsidRDefault="00AD56DE" w:rsidP="00B92609">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Reason</w:t>
            </w:r>
            <w:r w:rsidR="004110B0">
              <w:rPr>
                <w:rFonts w:ascii="Arial" w:hAnsi="Arial" w:cs="Arial"/>
                <w:b/>
                <w:color w:val="FFFFFF" w:themeColor="background1"/>
                <w:sz w:val="19"/>
                <w:szCs w:val="19"/>
              </w:rPr>
              <w:t xml:space="preserve"> for Non-achievement</w:t>
            </w:r>
          </w:p>
        </w:tc>
        <w:tc>
          <w:tcPr>
            <w:tcW w:w="3969" w:type="dxa"/>
            <w:shd w:val="clear" w:color="auto" w:fill="595959" w:themeFill="text1" w:themeFillTint="A6"/>
          </w:tcPr>
          <w:p w:rsidR="00AD56DE" w:rsidRDefault="00AD56DE" w:rsidP="00B92609">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Remedial Action</w:t>
            </w:r>
          </w:p>
        </w:tc>
        <w:tc>
          <w:tcPr>
            <w:tcW w:w="2409" w:type="dxa"/>
            <w:shd w:val="clear" w:color="auto" w:fill="595959" w:themeFill="text1" w:themeFillTint="A6"/>
          </w:tcPr>
          <w:p w:rsidR="00AD56DE" w:rsidRPr="008A5AE5" w:rsidRDefault="00AD56DE" w:rsidP="00B92609">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Expected Outcome at 30 June 2018</w:t>
            </w:r>
          </w:p>
        </w:tc>
      </w:tr>
      <w:tr w:rsidR="00AD56DE" w:rsidRPr="005D0FA8" w:rsidTr="004110B0">
        <w:trPr>
          <w:trHeight w:val="1532"/>
        </w:trPr>
        <w:tc>
          <w:tcPr>
            <w:tcW w:w="1378" w:type="dxa"/>
            <w:vMerge w:val="restart"/>
          </w:tcPr>
          <w:p w:rsidR="00AD56DE" w:rsidRPr="004110B0" w:rsidRDefault="00AD56DE" w:rsidP="00B92609">
            <w:pPr>
              <w:spacing w:line="360" w:lineRule="auto"/>
              <w:rPr>
                <w:rFonts w:ascii="Arial" w:hAnsi="Arial" w:cs="Arial"/>
                <w:b/>
                <w:sz w:val="19"/>
                <w:szCs w:val="19"/>
              </w:rPr>
            </w:pPr>
            <w:r w:rsidRPr="004110B0">
              <w:rPr>
                <w:rFonts w:ascii="Arial" w:hAnsi="Arial" w:cs="Arial"/>
                <w:b/>
                <w:sz w:val="19"/>
                <w:szCs w:val="19"/>
              </w:rPr>
              <w:t xml:space="preserve">Risk Management </w:t>
            </w:r>
          </w:p>
        </w:tc>
        <w:tc>
          <w:tcPr>
            <w:tcW w:w="2445" w:type="dxa"/>
          </w:tcPr>
          <w:p w:rsidR="004110B0" w:rsidRDefault="00AD56DE" w:rsidP="00B92609">
            <w:pPr>
              <w:spacing w:line="360" w:lineRule="auto"/>
              <w:rPr>
                <w:rFonts w:ascii="Arial" w:hAnsi="Arial" w:cs="Arial"/>
                <w:sz w:val="19"/>
                <w:szCs w:val="19"/>
              </w:rPr>
            </w:pPr>
            <w:r>
              <w:rPr>
                <w:rFonts w:ascii="Arial" w:hAnsi="Arial" w:cs="Arial"/>
                <w:sz w:val="19"/>
                <w:szCs w:val="19"/>
              </w:rPr>
              <w:t xml:space="preserve">7_1.9  </w:t>
            </w:r>
          </w:p>
          <w:p w:rsidR="00AD56DE" w:rsidRDefault="00AD56DE" w:rsidP="00B92609">
            <w:pPr>
              <w:spacing w:line="360" w:lineRule="auto"/>
              <w:rPr>
                <w:rFonts w:ascii="Arial" w:hAnsi="Arial" w:cs="Arial"/>
                <w:sz w:val="19"/>
                <w:szCs w:val="19"/>
              </w:rPr>
            </w:pPr>
            <w:r>
              <w:rPr>
                <w:rFonts w:ascii="Arial" w:hAnsi="Arial" w:cs="Arial"/>
                <w:sz w:val="19"/>
                <w:szCs w:val="19"/>
              </w:rPr>
              <w:t xml:space="preserve">Implementation of internal audit plan </w:t>
            </w:r>
          </w:p>
        </w:tc>
        <w:tc>
          <w:tcPr>
            <w:tcW w:w="2693" w:type="dxa"/>
          </w:tcPr>
          <w:p w:rsidR="00AD56DE" w:rsidRDefault="00AD56DE" w:rsidP="00B92609">
            <w:pPr>
              <w:spacing w:line="360" w:lineRule="auto"/>
              <w:rPr>
                <w:rFonts w:ascii="Arial" w:hAnsi="Arial" w:cs="Arial"/>
                <w:sz w:val="19"/>
                <w:szCs w:val="19"/>
              </w:rPr>
            </w:pPr>
            <w:r>
              <w:rPr>
                <w:rFonts w:ascii="Arial" w:hAnsi="Arial" w:cs="Arial"/>
                <w:sz w:val="19"/>
                <w:szCs w:val="19"/>
              </w:rPr>
              <w:t xml:space="preserve">Only 60% of the planned internal audit activities were conducted </w:t>
            </w:r>
          </w:p>
          <w:p w:rsidR="00AD56DE" w:rsidRDefault="00AD56DE" w:rsidP="00B92609">
            <w:pPr>
              <w:spacing w:line="360" w:lineRule="auto"/>
              <w:rPr>
                <w:rFonts w:ascii="Arial" w:hAnsi="Arial" w:cs="Arial"/>
                <w:sz w:val="19"/>
                <w:szCs w:val="19"/>
              </w:rPr>
            </w:pPr>
          </w:p>
        </w:tc>
        <w:tc>
          <w:tcPr>
            <w:tcW w:w="2977" w:type="dxa"/>
          </w:tcPr>
          <w:p w:rsidR="00AD56DE" w:rsidRDefault="00AD56DE" w:rsidP="00B92609">
            <w:pPr>
              <w:spacing w:line="360" w:lineRule="auto"/>
              <w:rPr>
                <w:rFonts w:ascii="Arial" w:hAnsi="Arial" w:cs="Arial"/>
                <w:sz w:val="19"/>
                <w:szCs w:val="19"/>
              </w:rPr>
            </w:pPr>
            <w:r>
              <w:rPr>
                <w:rFonts w:ascii="Arial" w:hAnsi="Arial" w:cs="Arial"/>
                <w:sz w:val="19"/>
                <w:szCs w:val="19"/>
              </w:rPr>
              <w:t>The review on ICT and BTO moved to quarter3, as scheduled period too soon after AG audit</w:t>
            </w:r>
          </w:p>
        </w:tc>
        <w:tc>
          <w:tcPr>
            <w:tcW w:w="3969" w:type="dxa"/>
            <w:shd w:val="clear" w:color="auto" w:fill="auto"/>
          </w:tcPr>
          <w:p w:rsidR="00AD56DE" w:rsidRDefault="00AD56DE" w:rsidP="00B92609">
            <w:pPr>
              <w:spacing w:line="360" w:lineRule="auto"/>
              <w:rPr>
                <w:rFonts w:ascii="Arial" w:hAnsi="Arial" w:cs="Arial"/>
                <w:sz w:val="19"/>
                <w:szCs w:val="19"/>
              </w:rPr>
            </w:pPr>
            <w:r>
              <w:rPr>
                <w:rFonts w:ascii="Arial" w:hAnsi="Arial" w:cs="Arial"/>
                <w:sz w:val="19"/>
                <w:szCs w:val="19"/>
              </w:rPr>
              <w:t>Revised dates set for BTO review after Jan18 budget adjustment period and midyear AFS (mid-Feb2018), and ICT review in Mar2018 (12 months after last review)</w:t>
            </w:r>
          </w:p>
        </w:tc>
        <w:tc>
          <w:tcPr>
            <w:tcW w:w="2409" w:type="dxa"/>
            <w:shd w:val="clear" w:color="auto" w:fill="92D050"/>
          </w:tcPr>
          <w:p w:rsidR="00AD56DE" w:rsidRDefault="00AD56DE" w:rsidP="00B92609">
            <w:pPr>
              <w:spacing w:line="360" w:lineRule="auto"/>
              <w:rPr>
                <w:rFonts w:ascii="Arial" w:hAnsi="Arial" w:cs="Arial"/>
                <w:sz w:val="19"/>
                <w:szCs w:val="19"/>
              </w:rPr>
            </w:pPr>
            <w:r>
              <w:rPr>
                <w:rFonts w:ascii="Arial" w:hAnsi="Arial" w:cs="Arial"/>
                <w:sz w:val="19"/>
                <w:szCs w:val="19"/>
              </w:rPr>
              <w:t>Will be achieved</w:t>
            </w:r>
          </w:p>
        </w:tc>
      </w:tr>
      <w:tr w:rsidR="00AD56DE" w:rsidRPr="005D0FA8" w:rsidTr="004110B0">
        <w:trPr>
          <w:trHeight w:val="769"/>
        </w:trPr>
        <w:tc>
          <w:tcPr>
            <w:tcW w:w="1378" w:type="dxa"/>
            <w:vMerge/>
          </w:tcPr>
          <w:p w:rsidR="00AD56DE" w:rsidRPr="004110B0" w:rsidRDefault="00AD56DE" w:rsidP="00B92609">
            <w:pPr>
              <w:spacing w:line="360" w:lineRule="auto"/>
              <w:rPr>
                <w:rFonts w:ascii="Arial" w:hAnsi="Arial" w:cs="Arial"/>
                <w:b/>
                <w:sz w:val="19"/>
                <w:szCs w:val="19"/>
              </w:rPr>
            </w:pPr>
          </w:p>
        </w:tc>
        <w:tc>
          <w:tcPr>
            <w:tcW w:w="2445" w:type="dxa"/>
          </w:tcPr>
          <w:p w:rsidR="004110B0" w:rsidRDefault="00AD56DE" w:rsidP="00B92609">
            <w:pPr>
              <w:spacing w:line="360" w:lineRule="auto"/>
              <w:rPr>
                <w:rFonts w:ascii="Arial" w:hAnsi="Arial" w:cs="Arial"/>
                <w:sz w:val="19"/>
                <w:szCs w:val="19"/>
              </w:rPr>
            </w:pPr>
            <w:r>
              <w:rPr>
                <w:rFonts w:ascii="Arial" w:hAnsi="Arial" w:cs="Arial"/>
                <w:sz w:val="19"/>
                <w:szCs w:val="19"/>
              </w:rPr>
              <w:t xml:space="preserve">7_1.11 </w:t>
            </w:r>
          </w:p>
          <w:p w:rsidR="00AD56DE" w:rsidRDefault="00AD56DE" w:rsidP="00B92609">
            <w:pPr>
              <w:spacing w:line="360" w:lineRule="auto"/>
              <w:rPr>
                <w:rFonts w:ascii="Arial" w:hAnsi="Arial" w:cs="Arial"/>
                <w:sz w:val="19"/>
                <w:szCs w:val="19"/>
              </w:rPr>
            </w:pPr>
            <w:r>
              <w:rPr>
                <w:rFonts w:ascii="Arial" w:hAnsi="Arial" w:cs="Arial"/>
                <w:sz w:val="19"/>
                <w:szCs w:val="19"/>
              </w:rPr>
              <w:t>SOP’s for organizational policies</w:t>
            </w:r>
          </w:p>
        </w:tc>
        <w:tc>
          <w:tcPr>
            <w:tcW w:w="2693" w:type="dxa"/>
          </w:tcPr>
          <w:p w:rsidR="00AD56DE" w:rsidRDefault="00AD56DE" w:rsidP="00B92609">
            <w:pPr>
              <w:spacing w:line="360" w:lineRule="auto"/>
              <w:rPr>
                <w:rFonts w:ascii="Arial" w:hAnsi="Arial" w:cs="Arial"/>
                <w:sz w:val="19"/>
                <w:szCs w:val="19"/>
              </w:rPr>
            </w:pPr>
            <w:r>
              <w:rPr>
                <w:rFonts w:ascii="Arial" w:hAnsi="Arial" w:cs="Arial"/>
                <w:sz w:val="19"/>
                <w:szCs w:val="19"/>
              </w:rPr>
              <w:t>The SOP manual draft not finalized by due date</w:t>
            </w:r>
          </w:p>
        </w:tc>
        <w:tc>
          <w:tcPr>
            <w:tcW w:w="2977" w:type="dxa"/>
          </w:tcPr>
          <w:p w:rsidR="00AD56DE" w:rsidRDefault="00AD56DE" w:rsidP="00B92609">
            <w:pPr>
              <w:spacing w:line="360" w:lineRule="auto"/>
              <w:rPr>
                <w:rFonts w:ascii="Arial" w:hAnsi="Arial" w:cs="Arial"/>
                <w:sz w:val="19"/>
                <w:szCs w:val="19"/>
              </w:rPr>
            </w:pPr>
            <w:r>
              <w:rPr>
                <w:rFonts w:ascii="Arial" w:hAnsi="Arial" w:cs="Arial"/>
                <w:sz w:val="19"/>
                <w:szCs w:val="19"/>
              </w:rPr>
              <w:t>Delays in finalizing policy handbook</w:t>
            </w:r>
          </w:p>
        </w:tc>
        <w:tc>
          <w:tcPr>
            <w:tcW w:w="3969" w:type="dxa"/>
            <w:shd w:val="clear" w:color="auto" w:fill="auto"/>
          </w:tcPr>
          <w:p w:rsidR="00AD56DE" w:rsidRDefault="00AD56DE" w:rsidP="00B92609">
            <w:pPr>
              <w:spacing w:line="360" w:lineRule="auto"/>
              <w:rPr>
                <w:rFonts w:ascii="Arial" w:hAnsi="Arial" w:cs="Arial"/>
                <w:sz w:val="19"/>
                <w:szCs w:val="19"/>
              </w:rPr>
            </w:pPr>
            <w:r>
              <w:rPr>
                <w:rFonts w:ascii="Arial" w:hAnsi="Arial" w:cs="Arial"/>
                <w:sz w:val="19"/>
                <w:szCs w:val="19"/>
              </w:rPr>
              <w:t>SOP’s to be finalized by end March 2018</w:t>
            </w:r>
          </w:p>
        </w:tc>
        <w:tc>
          <w:tcPr>
            <w:tcW w:w="2409" w:type="dxa"/>
            <w:shd w:val="clear" w:color="auto" w:fill="92D050"/>
          </w:tcPr>
          <w:p w:rsidR="00AD56DE" w:rsidRDefault="00AD56DE" w:rsidP="00B92609">
            <w:pPr>
              <w:spacing w:line="360" w:lineRule="auto"/>
              <w:rPr>
                <w:rFonts w:ascii="Arial" w:hAnsi="Arial" w:cs="Arial"/>
                <w:sz w:val="19"/>
                <w:szCs w:val="19"/>
              </w:rPr>
            </w:pPr>
            <w:r>
              <w:rPr>
                <w:rFonts w:ascii="Arial" w:hAnsi="Arial" w:cs="Arial"/>
                <w:sz w:val="19"/>
                <w:szCs w:val="19"/>
              </w:rPr>
              <w:t>Will be achieved</w:t>
            </w:r>
          </w:p>
        </w:tc>
      </w:tr>
      <w:tr w:rsidR="00AD56DE" w:rsidRPr="005D0FA8" w:rsidTr="004110B0">
        <w:trPr>
          <w:trHeight w:val="1333"/>
        </w:trPr>
        <w:tc>
          <w:tcPr>
            <w:tcW w:w="1378" w:type="dxa"/>
          </w:tcPr>
          <w:p w:rsidR="00AD56DE" w:rsidRPr="004110B0" w:rsidRDefault="00063053" w:rsidP="00B92609">
            <w:pPr>
              <w:spacing w:line="360" w:lineRule="auto"/>
              <w:rPr>
                <w:rFonts w:ascii="Arial" w:hAnsi="Arial" w:cs="Arial"/>
                <w:b/>
                <w:sz w:val="19"/>
                <w:szCs w:val="19"/>
              </w:rPr>
            </w:pPr>
            <w:r w:rsidRPr="004110B0">
              <w:rPr>
                <w:rFonts w:ascii="Arial" w:hAnsi="Arial" w:cs="Arial"/>
                <w:b/>
                <w:sz w:val="19"/>
                <w:szCs w:val="19"/>
              </w:rPr>
              <w:t>Performance Management</w:t>
            </w:r>
          </w:p>
        </w:tc>
        <w:tc>
          <w:tcPr>
            <w:tcW w:w="2445" w:type="dxa"/>
          </w:tcPr>
          <w:p w:rsidR="004110B0" w:rsidRDefault="00063053" w:rsidP="00B92609">
            <w:pPr>
              <w:spacing w:line="360" w:lineRule="auto"/>
              <w:rPr>
                <w:rFonts w:ascii="Arial" w:hAnsi="Arial" w:cs="Arial"/>
                <w:sz w:val="19"/>
                <w:szCs w:val="19"/>
              </w:rPr>
            </w:pPr>
            <w:r>
              <w:rPr>
                <w:rFonts w:ascii="Arial" w:hAnsi="Arial" w:cs="Arial"/>
                <w:sz w:val="19"/>
                <w:szCs w:val="19"/>
              </w:rPr>
              <w:t xml:space="preserve">8_1.13 </w:t>
            </w:r>
          </w:p>
          <w:p w:rsidR="00AD56DE" w:rsidRPr="005D0FA8" w:rsidRDefault="00063053" w:rsidP="00B92609">
            <w:pPr>
              <w:spacing w:line="360" w:lineRule="auto"/>
              <w:rPr>
                <w:rFonts w:ascii="Arial" w:hAnsi="Arial" w:cs="Arial"/>
                <w:sz w:val="19"/>
                <w:szCs w:val="19"/>
              </w:rPr>
            </w:pPr>
            <w:r>
              <w:rPr>
                <w:rFonts w:ascii="Arial" w:hAnsi="Arial" w:cs="Arial"/>
                <w:sz w:val="19"/>
                <w:szCs w:val="19"/>
              </w:rPr>
              <w:t>Min 70% annual performance score</w:t>
            </w:r>
          </w:p>
        </w:tc>
        <w:tc>
          <w:tcPr>
            <w:tcW w:w="2693" w:type="dxa"/>
          </w:tcPr>
          <w:p w:rsidR="00AD56DE" w:rsidRDefault="00063053" w:rsidP="00063053">
            <w:pPr>
              <w:spacing w:line="360" w:lineRule="auto"/>
              <w:rPr>
                <w:rFonts w:ascii="Arial" w:hAnsi="Arial" w:cs="Arial"/>
                <w:sz w:val="19"/>
                <w:szCs w:val="19"/>
              </w:rPr>
            </w:pPr>
            <w:r>
              <w:rPr>
                <w:rFonts w:ascii="Arial" w:hAnsi="Arial" w:cs="Arial"/>
                <w:sz w:val="19"/>
                <w:szCs w:val="19"/>
              </w:rPr>
              <w:t xml:space="preserve">No movement </w:t>
            </w:r>
          </w:p>
        </w:tc>
        <w:tc>
          <w:tcPr>
            <w:tcW w:w="2977" w:type="dxa"/>
          </w:tcPr>
          <w:p w:rsidR="00AD56DE" w:rsidRDefault="00063053" w:rsidP="00B92609">
            <w:pPr>
              <w:spacing w:line="360" w:lineRule="auto"/>
              <w:rPr>
                <w:rFonts w:ascii="Arial" w:hAnsi="Arial" w:cs="Arial"/>
                <w:sz w:val="19"/>
                <w:szCs w:val="19"/>
              </w:rPr>
            </w:pPr>
            <w:r>
              <w:rPr>
                <w:rFonts w:ascii="Arial" w:hAnsi="Arial" w:cs="Arial"/>
                <w:sz w:val="19"/>
                <w:szCs w:val="19"/>
              </w:rPr>
              <w:t>Target set for 30/06/2018</w:t>
            </w:r>
          </w:p>
        </w:tc>
        <w:tc>
          <w:tcPr>
            <w:tcW w:w="3969" w:type="dxa"/>
            <w:shd w:val="clear" w:color="auto" w:fill="auto"/>
          </w:tcPr>
          <w:p w:rsidR="00AD56DE" w:rsidRDefault="00063053" w:rsidP="00B92609">
            <w:pPr>
              <w:spacing w:line="360" w:lineRule="auto"/>
              <w:rPr>
                <w:rFonts w:ascii="Arial" w:hAnsi="Arial" w:cs="Arial"/>
                <w:sz w:val="19"/>
                <w:szCs w:val="19"/>
              </w:rPr>
            </w:pPr>
            <w:r>
              <w:rPr>
                <w:rFonts w:ascii="Arial" w:hAnsi="Arial" w:cs="Arial"/>
                <w:sz w:val="19"/>
                <w:szCs w:val="19"/>
              </w:rPr>
              <w:t>Close monitoring of items indicated as non-achieved and not yet due in midyear report</w:t>
            </w:r>
          </w:p>
        </w:tc>
        <w:tc>
          <w:tcPr>
            <w:tcW w:w="2409" w:type="dxa"/>
            <w:shd w:val="clear" w:color="auto" w:fill="BDD6EE" w:themeFill="accent1" w:themeFillTint="66"/>
          </w:tcPr>
          <w:p w:rsidR="00AD56DE" w:rsidRPr="005D0FA8" w:rsidRDefault="00063053" w:rsidP="00B92609">
            <w:pPr>
              <w:spacing w:line="360" w:lineRule="auto"/>
              <w:rPr>
                <w:rFonts w:ascii="Arial" w:hAnsi="Arial" w:cs="Arial"/>
                <w:sz w:val="19"/>
                <w:szCs w:val="19"/>
              </w:rPr>
            </w:pPr>
            <w:r>
              <w:rPr>
                <w:rFonts w:ascii="Arial" w:hAnsi="Arial" w:cs="Arial"/>
                <w:sz w:val="19"/>
                <w:szCs w:val="19"/>
              </w:rPr>
              <w:t>High chance of achievement as mid-year status on annual targets at 63%</w:t>
            </w:r>
          </w:p>
        </w:tc>
      </w:tr>
      <w:tr w:rsidR="004110B0" w:rsidRPr="005D0FA8" w:rsidTr="004110B0">
        <w:trPr>
          <w:trHeight w:val="1333"/>
        </w:trPr>
        <w:tc>
          <w:tcPr>
            <w:tcW w:w="1378" w:type="dxa"/>
          </w:tcPr>
          <w:p w:rsidR="004110B0" w:rsidRPr="004110B0" w:rsidRDefault="004110B0" w:rsidP="00B92609">
            <w:pPr>
              <w:spacing w:line="360" w:lineRule="auto"/>
              <w:rPr>
                <w:rFonts w:ascii="Arial" w:hAnsi="Arial" w:cs="Arial"/>
                <w:b/>
                <w:sz w:val="19"/>
                <w:szCs w:val="19"/>
              </w:rPr>
            </w:pPr>
            <w:r>
              <w:rPr>
                <w:rFonts w:ascii="Arial" w:hAnsi="Arial" w:cs="Arial"/>
                <w:b/>
                <w:sz w:val="19"/>
                <w:szCs w:val="19"/>
              </w:rPr>
              <w:t>Irrigation Schemes</w:t>
            </w:r>
          </w:p>
        </w:tc>
        <w:tc>
          <w:tcPr>
            <w:tcW w:w="2445" w:type="dxa"/>
          </w:tcPr>
          <w:p w:rsidR="004110B0" w:rsidRDefault="004110B0" w:rsidP="00B92609">
            <w:pPr>
              <w:spacing w:line="360" w:lineRule="auto"/>
              <w:rPr>
                <w:rFonts w:ascii="Arial" w:hAnsi="Arial" w:cs="Arial"/>
                <w:sz w:val="19"/>
                <w:szCs w:val="19"/>
              </w:rPr>
            </w:pPr>
            <w:r>
              <w:rPr>
                <w:rFonts w:ascii="Arial" w:hAnsi="Arial" w:cs="Arial"/>
                <w:sz w:val="19"/>
                <w:szCs w:val="19"/>
              </w:rPr>
              <w:t>10_2.1</w:t>
            </w:r>
          </w:p>
          <w:p w:rsidR="004110B0" w:rsidRDefault="004110B0" w:rsidP="00B92609">
            <w:pPr>
              <w:spacing w:line="360" w:lineRule="auto"/>
              <w:rPr>
                <w:rFonts w:ascii="Arial" w:hAnsi="Arial" w:cs="Arial"/>
                <w:sz w:val="19"/>
                <w:szCs w:val="19"/>
              </w:rPr>
            </w:pPr>
            <w:r>
              <w:rPr>
                <w:rFonts w:ascii="Arial" w:hAnsi="Arial" w:cs="Arial"/>
                <w:sz w:val="19"/>
                <w:szCs w:val="19"/>
              </w:rPr>
              <w:t xml:space="preserve">Funding applications for </w:t>
            </w:r>
            <w:proofErr w:type="spellStart"/>
            <w:r>
              <w:rPr>
                <w:rFonts w:ascii="Arial" w:hAnsi="Arial" w:cs="Arial"/>
                <w:sz w:val="19"/>
                <w:szCs w:val="19"/>
              </w:rPr>
              <w:t>Qamata</w:t>
            </w:r>
            <w:proofErr w:type="spellEnd"/>
            <w:r>
              <w:rPr>
                <w:rFonts w:ascii="Arial" w:hAnsi="Arial" w:cs="Arial"/>
                <w:sz w:val="19"/>
                <w:szCs w:val="19"/>
              </w:rPr>
              <w:t xml:space="preserve"> cropping </w:t>
            </w:r>
            <w:proofErr w:type="spellStart"/>
            <w:r>
              <w:rPr>
                <w:rFonts w:ascii="Arial" w:hAnsi="Arial" w:cs="Arial"/>
                <w:sz w:val="19"/>
                <w:szCs w:val="19"/>
              </w:rPr>
              <w:t>programme</w:t>
            </w:r>
            <w:proofErr w:type="spellEnd"/>
          </w:p>
        </w:tc>
        <w:tc>
          <w:tcPr>
            <w:tcW w:w="2693" w:type="dxa"/>
          </w:tcPr>
          <w:p w:rsidR="004110B0" w:rsidRDefault="004110B0" w:rsidP="00063053">
            <w:pPr>
              <w:spacing w:line="360" w:lineRule="auto"/>
              <w:rPr>
                <w:rFonts w:ascii="Arial" w:hAnsi="Arial" w:cs="Arial"/>
                <w:sz w:val="19"/>
                <w:szCs w:val="19"/>
              </w:rPr>
            </w:pPr>
            <w:r>
              <w:rPr>
                <w:rFonts w:ascii="Arial" w:hAnsi="Arial" w:cs="Arial"/>
                <w:sz w:val="19"/>
                <w:szCs w:val="19"/>
              </w:rPr>
              <w:t>No movement</w:t>
            </w:r>
          </w:p>
        </w:tc>
        <w:tc>
          <w:tcPr>
            <w:tcW w:w="2977" w:type="dxa"/>
          </w:tcPr>
          <w:p w:rsidR="004110B0" w:rsidRDefault="004110B0" w:rsidP="00B92609">
            <w:pPr>
              <w:spacing w:line="360" w:lineRule="auto"/>
              <w:rPr>
                <w:rFonts w:ascii="Arial" w:hAnsi="Arial" w:cs="Arial"/>
                <w:sz w:val="19"/>
                <w:szCs w:val="19"/>
              </w:rPr>
            </w:pPr>
            <w:r>
              <w:rPr>
                <w:rFonts w:ascii="Arial" w:hAnsi="Arial" w:cs="Arial"/>
                <w:sz w:val="19"/>
                <w:szCs w:val="19"/>
              </w:rPr>
              <w:t>Target set prior to signing of SLA with partner that will conduct cropping activities in identified area</w:t>
            </w:r>
          </w:p>
        </w:tc>
        <w:tc>
          <w:tcPr>
            <w:tcW w:w="3969" w:type="dxa"/>
            <w:shd w:val="clear" w:color="auto" w:fill="auto"/>
          </w:tcPr>
          <w:p w:rsidR="004110B0" w:rsidRDefault="004110B0" w:rsidP="00B92609">
            <w:pPr>
              <w:spacing w:line="360" w:lineRule="auto"/>
              <w:rPr>
                <w:rFonts w:ascii="Arial" w:hAnsi="Arial" w:cs="Arial"/>
                <w:sz w:val="19"/>
                <w:szCs w:val="19"/>
              </w:rPr>
            </w:pPr>
            <w:r>
              <w:rPr>
                <w:rFonts w:ascii="Arial" w:hAnsi="Arial" w:cs="Arial"/>
                <w:sz w:val="19"/>
                <w:szCs w:val="19"/>
              </w:rPr>
              <w:t>Adjust target in mid-year adjustment</w:t>
            </w:r>
          </w:p>
        </w:tc>
        <w:tc>
          <w:tcPr>
            <w:tcW w:w="2409" w:type="dxa"/>
            <w:shd w:val="clear" w:color="auto" w:fill="92D050"/>
          </w:tcPr>
          <w:p w:rsidR="004110B0" w:rsidRDefault="004110B0" w:rsidP="00B92609">
            <w:pPr>
              <w:spacing w:line="360" w:lineRule="auto"/>
              <w:rPr>
                <w:rFonts w:ascii="Arial" w:hAnsi="Arial" w:cs="Arial"/>
                <w:sz w:val="19"/>
                <w:szCs w:val="19"/>
              </w:rPr>
            </w:pPr>
            <w:r>
              <w:rPr>
                <w:rFonts w:ascii="Arial" w:hAnsi="Arial" w:cs="Arial"/>
                <w:sz w:val="19"/>
                <w:szCs w:val="19"/>
              </w:rPr>
              <w:t>Will be achieved</w:t>
            </w:r>
          </w:p>
        </w:tc>
      </w:tr>
    </w:tbl>
    <w:p w:rsidR="00E45280" w:rsidRDefault="00E45280" w:rsidP="004D2E12">
      <w:pPr>
        <w:spacing w:line="360" w:lineRule="auto"/>
        <w:jc w:val="both"/>
        <w:rPr>
          <w:rFonts w:ascii="Arial" w:hAnsi="Arial" w:cs="Arial"/>
          <w:sz w:val="20"/>
          <w:szCs w:val="20"/>
        </w:rPr>
        <w:sectPr w:rsidR="00E45280" w:rsidSect="00F0225F">
          <w:pgSz w:w="16838" w:h="11906" w:orient="landscape"/>
          <w:pgMar w:top="709" w:right="851" w:bottom="992" w:left="425" w:header="708" w:footer="393" w:gutter="0"/>
          <w:cols w:space="708"/>
          <w:docGrid w:linePitch="360"/>
        </w:sectPr>
      </w:pP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555"/>
        <w:gridCol w:w="2268"/>
        <w:gridCol w:w="2268"/>
        <w:gridCol w:w="3969"/>
        <w:gridCol w:w="3402"/>
        <w:gridCol w:w="2409"/>
      </w:tblGrid>
      <w:tr w:rsidR="004110B0" w:rsidRPr="008A5AE5" w:rsidTr="00960F11">
        <w:trPr>
          <w:trHeight w:val="647"/>
        </w:trPr>
        <w:tc>
          <w:tcPr>
            <w:tcW w:w="1555" w:type="dxa"/>
            <w:shd w:val="clear" w:color="auto" w:fill="595959" w:themeFill="text1" w:themeFillTint="A6"/>
          </w:tcPr>
          <w:p w:rsidR="004110B0" w:rsidRPr="008A5AE5" w:rsidRDefault="004110B0" w:rsidP="00960F11">
            <w:pPr>
              <w:spacing w:line="360" w:lineRule="auto"/>
              <w:rPr>
                <w:rFonts w:ascii="Arial" w:hAnsi="Arial" w:cs="Arial"/>
                <w:b/>
                <w:color w:val="FFFFFF" w:themeColor="background1"/>
                <w:sz w:val="19"/>
                <w:szCs w:val="19"/>
              </w:rPr>
            </w:pPr>
            <w:bookmarkStart w:id="1" w:name="_Toc473281378"/>
            <w:proofErr w:type="spellStart"/>
            <w:r>
              <w:rPr>
                <w:rFonts w:ascii="Arial" w:hAnsi="Arial" w:cs="Arial"/>
                <w:b/>
                <w:color w:val="FFFFFF" w:themeColor="background1"/>
                <w:sz w:val="19"/>
                <w:szCs w:val="19"/>
              </w:rPr>
              <w:lastRenderedPageBreak/>
              <w:t>Programme</w:t>
            </w:r>
            <w:proofErr w:type="spellEnd"/>
          </w:p>
        </w:tc>
        <w:tc>
          <w:tcPr>
            <w:tcW w:w="2268" w:type="dxa"/>
            <w:shd w:val="clear" w:color="auto" w:fill="595959" w:themeFill="text1" w:themeFillTint="A6"/>
          </w:tcPr>
          <w:p w:rsidR="004110B0" w:rsidRPr="008A5AE5" w:rsidRDefault="004110B0" w:rsidP="00960F11">
            <w:pPr>
              <w:spacing w:line="360" w:lineRule="auto"/>
              <w:rPr>
                <w:rFonts w:ascii="Arial" w:hAnsi="Arial" w:cs="Arial"/>
                <w:b/>
                <w:color w:val="FFFFFF" w:themeColor="background1"/>
                <w:sz w:val="19"/>
                <w:szCs w:val="19"/>
              </w:rPr>
            </w:pPr>
            <w:r w:rsidRPr="008A5AE5">
              <w:rPr>
                <w:rFonts w:ascii="Arial" w:hAnsi="Arial" w:cs="Arial"/>
                <w:b/>
                <w:color w:val="FFFFFF" w:themeColor="background1"/>
                <w:sz w:val="19"/>
                <w:szCs w:val="19"/>
              </w:rPr>
              <w:t>Performance</w:t>
            </w:r>
            <w:r>
              <w:rPr>
                <w:rFonts w:ascii="Arial" w:hAnsi="Arial" w:cs="Arial"/>
                <w:b/>
                <w:color w:val="FFFFFF" w:themeColor="background1"/>
                <w:sz w:val="19"/>
                <w:szCs w:val="19"/>
              </w:rPr>
              <w:t xml:space="preserve"> Area</w:t>
            </w:r>
          </w:p>
        </w:tc>
        <w:tc>
          <w:tcPr>
            <w:tcW w:w="2268" w:type="dxa"/>
            <w:shd w:val="clear" w:color="auto" w:fill="595959" w:themeFill="text1" w:themeFillTint="A6"/>
          </w:tcPr>
          <w:p w:rsidR="004110B0" w:rsidRPr="008A5AE5" w:rsidRDefault="004110B0"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Status at Midyear</w:t>
            </w:r>
          </w:p>
        </w:tc>
        <w:tc>
          <w:tcPr>
            <w:tcW w:w="3969" w:type="dxa"/>
            <w:shd w:val="clear" w:color="auto" w:fill="595959" w:themeFill="text1" w:themeFillTint="A6"/>
          </w:tcPr>
          <w:p w:rsidR="004110B0" w:rsidRPr="008A5AE5" w:rsidRDefault="004110B0"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Reason for Non-achievement</w:t>
            </w:r>
          </w:p>
        </w:tc>
        <w:tc>
          <w:tcPr>
            <w:tcW w:w="3402" w:type="dxa"/>
            <w:shd w:val="clear" w:color="auto" w:fill="595959" w:themeFill="text1" w:themeFillTint="A6"/>
          </w:tcPr>
          <w:p w:rsidR="004110B0" w:rsidRDefault="004110B0"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Remedial Action</w:t>
            </w:r>
          </w:p>
        </w:tc>
        <w:tc>
          <w:tcPr>
            <w:tcW w:w="2409" w:type="dxa"/>
            <w:shd w:val="clear" w:color="auto" w:fill="595959" w:themeFill="text1" w:themeFillTint="A6"/>
          </w:tcPr>
          <w:p w:rsidR="004110B0" w:rsidRPr="008A5AE5" w:rsidRDefault="004110B0"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Expected Outcome at 30 June 2018</w:t>
            </w:r>
          </w:p>
        </w:tc>
      </w:tr>
      <w:tr w:rsidR="004110B0" w:rsidRPr="005D0FA8" w:rsidTr="00960F11">
        <w:trPr>
          <w:trHeight w:val="1532"/>
        </w:trPr>
        <w:tc>
          <w:tcPr>
            <w:tcW w:w="1555" w:type="dxa"/>
          </w:tcPr>
          <w:p w:rsidR="004110B0" w:rsidRPr="004110B0" w:rsidRDefault="004110B0" w:rsidP="00960F11">
            <w:pPr>
              <w:spacing w:line="360" w:lineRule="auto"/>
              <w:rPr>
                <w:rFonts w:ascii="Arial" w:hAnsi="Arial" w:cs="Arial"/>
                <w:b/>
                <w:sz w:val="19"/>
                <w:szCs w:val="19"/>
              </w:rPr>
            </w:pPr>
            <w:r>
              <w:rPr>
                <w:rFonts w:ascii="Arial" w:hAnsi="Arial" w:cs="Arial"/>
                <w:b/>
                <w:sz w:val="19"/>
                <w:szCs w:val="19"/>
              </w:rPr>
              <w:t>Irrigation Schemes</w:t>
            </w:r>
          </w:p>
        </w:tc>
        <w:tc>
          <w:tcPr>
            <w:tcW w:w="2268" w:type="dxa"/>
          </w:tcPr>
          <w:p w:rsidR="004110B0" w:rsidRDefault="004110B0" w:rsidP="00960F11">
            <w:pPr>
              <w:spacing w:line="360" w:lineRule="auto"/>
              <w:rPr>
                <w:rFonts w:ascii="Arial" w:hAnsi="Arial" w:cs="Arial"/>
                <w:sz w:val="19"/>
                <w:szCs w:val="19"/>
              </w:rPr>
            </w:pPr>
            <w:r>
              <w:rPr>
                <w:rFonts w:ascii="Arial" w:hAnsi="Arial" w:cs="Arial"/>
                <w:sz w:val="19"/>
                <w:szCs w:val="19"/>
              </w:rPr>
              <w:t>11_2.2</w:t>
            </w:r>
          </w:p>
          <w:p w:rsidR="004110B0" w:rsidRDefault="004110B0" w:rsidP="00960F11">
            <w:pPr>
              <w:spacing w:line="360" w:lineRule="auto"/>
              <w:rPr>
                <w:rFonts w:ascii="Arial" w:hAnsi="Arial" w:cs="Arial"/>
                <w:sz w:val="19"/>
                <w:szCs w:val="19"/>
              </w:rPr>
            </w:pPr>
            <w:r>
              <w:rPr>
                <w:rFonts w:ascii="Arial" w:hAnsi="Arial" w:cs="Arial"/>
                <w:sz w:val="19"/>
                <w:szCs w:val="19"/>
              </w:rPr>
              <w:t xml:space="preserve">Eskom installation of transformer at </w:t>
            </w:r>
            <w:proofErr w:type="spellStart"/>
            <w:r>
              <w:rPr>
                <w:rFonts w:ascii="Arial" w:hAnsi="Arial" w:cs="Arial"/>
                <w:sz w:val="19"/>
                <w:szCs w:val="19"/>
              </w:rPr>
              <w:t>Qamata</w:t>
            </w:r>
            <w:proofErr w:type="spellEnd"/>
            <w:r>
              <w:rPr>
                <w:rFonts w:ascii="Arial" w:hAnsi="Arial" w:cs="Arial"/>
                <w:sz w:val="19"/>
                <w:szCs w:val="19"/>
              </w:rPr>
              <w:t xml:space="preserve"> </w:t>
            </w:r>
          </w:p>
        </w:tc>
        <w:tc>
          <w:tcPr>
            <w:tcW w:w="2268" w:type="dxa"/>
          </w:tcPr>
          <w:p w:rsidR="004110B0" w:rsidRDefault="004110B0" w:rsidP="00960F11">
            <w:pPr>
              <w:spacing w:line="360" w:lineRule="auto"/>
              <w:rPr>
                <w:rFonts w:ascii="Arial" w:hAnsi="Arial" w:cs="Arial"/>
                <w:sz w:val="19"/>
                <w:szCs w:val="19"/>
              </w:rPr>
            </w:pPr>
            <w:r>
              <w:rPr>
                <w:rFonts w:ascii="Arial" w:hAnsi="Arial" w:cs="Arial"/>
                <w:sz w:val="19"/>
                <w:szCs w:val="19"/>
              </w:rPr>
              <w:t>No movement</w:t>
            </w:r>
          </w:p>
          <w:p w:rsidR="004110B0" w:rsidRDefault="004110B0" w:rsidP="00960F11">
            <w:pPr>
              <w:spacing w:line="360" w:lineRule="auto"/>
              <w:rPr>
                <w:rFonts w:ascii="Arial" w:hAnsi="Arial" w:cs="Arial"/>
                <w:sz w:val="19"/>
                <w:szCs w:val="19"/>
              </w:rPr>
            </w:pPr>
          </w:p>
        </w:tc>
        <w:tc>
          <w:tcPr>
            <w:tcW w:w="3969" w:type="dxa"/>
          </w:tcPr>
          <w:p w:rsidR="004110B0" w:rsidRDefault="004110B0" w:rsidP="00960F11">
            <w:pPr>
              <w:spacing w:line="360" w:lineRule="auto"/>
              <w:rPr>
                <w:rFonts w:ascii="Arial" w:hAnsi="Arial" w:cs="Arial"/>
                <w:sz w:val="19"/>
                <w:szCs w:val="19"/>
              </w:rPr>
            </w:pPr>
            <w:r>
              <w:rPr>
                <w:rFonts w:ascii="Arial" w:hAnsi="Arial" w:cs="Arial"/>
                <w:sz w:val="19"/>
                <w:szCs w:val="19"/>
              </w:rPr>
              <w:t>Rain delays in scheduled period of installation and Dec shutdown of appointed contractor</w:t>
            </w:r>
          </w:p>
        </w:tc>
        <w:tc>
          <w:tcPr>
            <w:tcW w:w="3402" w:type="dxa"/>
            <w:shd w:val="clear" w:color="auto" w:fill="auto"/>
          </w:tcPr>
          <w:p w:rsidR="004110B0" w:rsidRDefault="004110B0" w:rsidP="00960F11">
            <w:pPr>
              <w:spacing w:line="360" w:lineRule="auto"/>
              <w:rPr>
                <w:rFonts w:ascii="Arial" w:hAnsi="Arial" w:cs="Arial"/>
                <w:sz w:val="19"/>
                <w:szCs w:val="19"/>
              </w:rPr>
            </w:pPr>
            <w:r>
              <w:rPr>
                <w:rFonts w:ascii="Arial" w:hAnsi="Arial" w:cs="Arial"/>
                <w:sz w:val="19"/>
                <w:szCs w:val="19"/>
              </w:rPr>
              <w:t>Revised date confirmed for Jan2018</w:t>
            </w:r>
          </w:p>
        </w:tc>
        <w:tc>
          <w:tcPr>
            <w:tcW w:w="2409" w:type="dxa"/>
            <w:shd w:val="clear" w:color="auto" w:fill="92D050"/>
          </w:tcPr>
          <w:p w:rsidR="004110B0" w:rsidRDefault="004110B0" w:rsidP="00960F11">
            <w:pPr>
              <w:spacing w:line="360" w:lineRule="auto"/>
              <w:rPr>
                <w:rFonts w:ascii="Arial" w:hAnsi="Arial" w:cs="Arial"/>
                <w:sz w:val="19"/>
                <w:szCs w:val="19"/>
              </w:rPr>
            </w:pPr>
            <w:r>
              <w:rPr>
                <w:rFonts w:ascii="Arial" w:hAnsi="Arial" w:cs="Arial"/>
                <w:sz w:val="19"/>
                <w:szCs w:val="19"/>
              </w:rPr>
              <w:t>Will be achieved</w:t>
            </w:r>
          </w:p>
        </w:tc>
      </w:tr>
      <w:tr w:rsidR="00960F11" w:rsidRPr="005D0FA8" w:rsidTr="00960F11">
        <w:trPr>
          <w:trHeight w:val="1333"/>
        </w:trPr>
        <w:tc>
          <w:tcPr>
            <w:tcW w:w="1555" w:type="dxa"/>
            <w:vMerge w:val="restart"/>
          </w:tcPr>
          <w:p w:rsidR="00960F11" w:rsidRPr="004110B0" w:rsidRDefault="00960F11" w:rsidP="00960F11">
            <w:pPr>
              <w:spacing w:line="360" w:lineRule="auto"/>
              <w:rPr>
                <w:rFonts w:ascii="Arial" w:hAnsi="Arial" w:cs="Arial"/>
                <w:b/>
                <w:sz w:val="19"/>
                <w:szCs w:val="19"/>
              </w:rPr>
            </w:pPr>
            <w:r>
              <w:rPr>
                <w:rFonts w:ascii="Arial" w:hAnsi="Arial" w:cs="Arial"/>
                <w:b/>
                <w:sz w:val="19"/>
                <w:szCs w:val="19"/>
              </w:rPr>
              <w:t>Agribusiness / Value Chains</w:t>
            </w:r>
          </w:p>
          <w:p w:rsidR="00960F11" w:rsidRPr="004110B0" w:rsidRDefault="00960F11" w:rsidP="00960F11">
            <w:pPr>
              <w:spacing w:line="360" w:lineRule="auto"/>
              <w:rPr>
                <w:rFonts w:ascii="Arial" w:hAnsi="Arial" w:cs="Arial"/>
                <w:b/>
                <w:sz w:val="19"/>
                <w:szCs w:val="19"/>
              </w:rPr>
            </w:pP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13_2.5</w:t>
            </w:r>
          </w:p>
          <w:p w:rsidR="00960F11" w:rsidRPr="005D0FA8" w:rsidRDefault="00960F11" w:rsidP="00960F11">
            <w:pPr>
              <w:spacing w:line="360" w:lineRule="auto"/>
              <w:rPr>
                <w:rFonts w:ascii="Arial" w:hAnsi="Arial" w:cs="Arial"/>
                <w:sz w:val="19"/>
                <w:szCs w:val="19"/>
              </w:rPr>
            </w:pPr>
            <w:r>
              <w:rPr>
                <w:rFonts w:ascii="Arial" w:hAnsi="Arial" w:cs="Arial"/>
                <w:sz w:val="19"/>
                <w:szCs w:val="19"/>
              </w:rPr>
              <w:t xml:space="preserve">Placement with 100% farmers approved </w:t>
            </w: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 xml:space="preserve">Only 63% (10/16) of approved farmers were placed with livestock by end Qtr2 </w:t>
            </w:r>
          </w:p>
        </w:tc>
        <w:tc>
          <w:tcPr>
            <w:tcW w:w="3969" w:type="dxa"/>
          </w:tcPr>
          <w:p w:rsidR="00960F11" w:rsidRDefault="00960F11" w:rsidP="00960F11">
            <w:pPr>
              <w:spacing w:line="360" w:lineRule="auto"/>
              <w:rPr>
                <w:rFonts w:ascii="Arial" w:hAnsi="Arial" w:cs="Arial"/>
                <w:sz w:val="19"/>
                <w:szCs w:val="19"/>
              </w:rPr>
            </w:pPr>
            <w:r>
              <w:rPr>
                <w:rFonts w:ascii="Arial" w:hAnsi="Arial" w:cs="Arial"/>
                <w:sz w:val="19"/>
                <w:szCs w:val="19"/>
              </w:rPr>
              <w:t xml:space="preserve">Late signing of contracts due to late receipt of funding from </w:t>
            </w:r>
            <w:proofErr w:type="spellStart"/>
            <w:r>
              <w:rPr>
                <w:rFonts w:ascii="Arial" w:hAnsi="Arial" w:cs="Arial"/>
                <w:sz w:val="19"/>
                <w:szCs w:val="19"/>
              </w:rPr>
              <w:t>JobsFund</w:t>
            </w:r>
            <w:proofErr w:type="spellEnd"/>
          </w:p>
        </w:tc>
        <w:tc>
          <w:tcPr>
            <w:tcW w:w="3402" w:type="dxa"/>
            <w:shd w:val="clear" w:color="auto" w:fill="auto"/>
          </w:tcPr>
          <w:p w:rsidR="00960F11" w:rsidRDefault="00960F11" w:rsidP="00960F11">
            <w:pPr>
              <w:spacing w:line="360" w:lineRule="auto"/>
              <w:rPr>
                <w:rFonts w:ascii="Arial" w:hAnsi="Arial" w:cs="Arial"/>
                <w:sz w:val="19"/>
                <w:szCs w:val="19"/>
              </w:rPr>
            </w:pPr>
            <w:r>
              <w:rPr>
                <w:rFonts w:ascii="Arial" w:hAnsi="Arial" w:cs="Arial"/>
                <w:sz w:val="19"/>
                <w:szCs w:val="19"/>
              </w:rPr>
              <w:t>Placements ongoing by Berlin Beef</w:t>
            </w:r>
          </w:p>
        </w:tc>
        <w:tc>
          <w:tcPr>
            <w:tcW w:w="2409" w:type="dxa"/>
            <w:shd w:val="clear" w:color="auto" w:fill="BDD6EE" w:themeFill="accent1" w:themeFillTint="66"/>
          </w:tcPr>
          <w:p w:rsidR="00960F11" w:rsidRPr="005D0FA8" w:rsidRDefault="00960F11" w:rsidP="00960F11">
            <w:pPr>
              <w:spacing w:line="360" w:lineRule="auto"/>
              <w:rPr>
                <w:rFonts w:ascii="Arial" w:hAnsi="Arial" w:cs="Arial"/>
                <w:sz w:val="19"/>
                <w:szCs w:val="19"/>
              </w:rPr>
            </w:pPr>
            <w:r>
              <w:rPr>
                <w:rFonts w:ascii="Arial" w:hAnsi="Arial" w:cs="Arial"/>
                <w:sz w:val="19"/>
                <w:szCs w:val="19"/>
              </w:rPr>
              <w:t>High chance of achievement as mid-year status on annual targets at 63%</w:t>
            </w:r>
          </w:p>
        </w:tc>
      </w:tr>
      <w:tr w:rsidR="00960F11" w:rsidRPr="005D0FA8" w:rsidTr="00960F11">
        <w:trPr>
          <w:trHeight w:val="1333"/>
        </w:trPr>
        <w:tc>
          <w:tcPr>
            <w:tcW w:w="1555" w:type="dxa"/>
            <w:vMerge/>
          </w:tcPr>
          <w:p w:rsidR="00960F11" w:rsidRPr="004110B0" w:rsidRDefault="00960F11" w:rsidP="00960F11">
            <w:pPr>
              <w:spacing w:line="360" w:lineRule="auto"/>
              <w:rPr>
                <w:rFonts w:ascii="Arial" w:hAnsi="Arial" w:cs="Arial"/>
                <w:b/>
                <w:sz w:val="19"/>
                <w:szCs w:val="19"/>
              </w:rPr>
            </w:pP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14_2.6</w:t>
            </w:r>
          </w:p>
          <w:p w:rsidR="00960F11" w:rsidRDefault="00960F11" w:rsidP="00960F11">
            <w:pPr>
              <w:spacing w:line="360" w:lineRule="auto"/>
              <w:rPr>
                <w:rFonts w:ascii="Arial" w:hAnsi="Arial" w:cs="Arial"/>
                <w:sz w:val="19"/>
                <w:szCs w:val="19"/>
              </w:rPr>
            </w:pPr>
            <w:r>
              <w:rPr>
                <w:rFonts w:ascii="Arial" w:hAnsi="Arial" w:cs="Arial"/>
                <w:sz w:val="19"/>
                <w:szCs w:val="19"/>
              </w:rPr>
              <w:t>100% completion of Ikhephu office</w:t>
            </w: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No movement</w:t>
            </w:r>
          </w:p>
        </w:tc>
        <w:tc>
          <w:tcPr>
            <w:tcW w:w="3969" w:type="dxa"/>
          </w:tcPr>
          <w:p w:rsidR="00960F11" w:rsidRDefault="00960F11" w:rsidP="00960F11">
            <w:pPr>
              <w:spacing w:line="360" w:lineRule="auto"/>
              <w:rPr>
                <w:rFonts w:ascii="Arial" w:hAnsi="Arial" w:cs="Arial"/>
                <w:sz w:val="19"/>
                <w:szCs w:val="19"/>
              </w:rPr>
            </w:pPr>
            <w:r>
              <w:rPr>
                <w:rFonts w:ascii="Arial" w:hAnsi="Arial" w:cs="Arial"/>
                <w:sz w:val="19"/>
                <w:szCs w:val="19"/>
              </w:rPr>
              <w:t>Failure in sourcing and appointing a qualified structural engineer to advise on building inspector recommendations</w:t>
            </w:r>
          </w:p>
        </w:tc>
        <w:tc>
          <w:tcPr>
            <w:tcW w:w="3402" w:type="dxa"/>
            <w:shd w:val="clear" w:color="auto" w:fill="auto"/>
          </w:tcPr>
          <w:p w:rsidR="00960F11" w:rsidRDefault="00960F11" w:rsidP="00960F11">
            <w:pPr>
              <w:spacing w:line="360" w:lineRule="auto"/>
              <w:rPr>
                <w:rFonts w:ascii="Arial" w:hAnsi="Arial" w:cs="Arial"/>
                <w:sz w:val="19"/>
                <w:szCs w:val="19"/>
              </w:rPr>
            </w:pPr>
            <w:r>
              <w:rPr>
                <w:rFonts w:ascii="Arial" w:hAnsi="Arial" w:cs="Arial"/>
                <w:sz w:val="19"/>
                <w:szCs w:val="19"/>
              </w:rPr>
              <w:t xml:space="preserve">CHDM approached to assist </w:t>
            </w:r>
          </w:p>
        </w:tc>
        <w:tc>
          <w:tcPr>
            <w:tcW w:w="2409" w:type="dxa"/>
            <w:shd w:val="clear" w:color="auto" w:fill="FFC000"/>
          </w:tcPr>
          <w:p w:rsidR="00960F11" w:rsidRDefault="00960F11" w:rsidP="00960F11">
            <w:pPr>
              <w:spacing w:line="360" w:lineRule="auto"/>
              <w:rPr>
                <w:rFonts w:ascii="Arial" w:hAnsi="Arial" w:cs="Arial"/>
                <w:sz w:val="19"/>
                <w:szCs w:val="19"/>
              </w:rPr>
            </w:pPr>
            <w:r>
              <w:rPr>
                <w:rFonts w:ascii="Arial" w:hAnsi="Arial" w:cs="Arial"/>
                <w:sz w:val="19"/>
                <w:szCs w:val="19"/>
              </w:rPr>
              <w:t>High chance of non-achievement by 30/06/2018</w:t>
            </w:r>
          </w:p>
        </w:tc>
      </w:tr>
      <w:tr w:rsidR="00960F11" w:rsidRPr="005D0FA8" w:rsidTr="00960F11">
        <w:trPr>
          <w:trHeight w:val="1333"/>
        </w:trPr>
        <w:tc>
          <w:tcPr>
            <w:tcW w:w="1555" w:type="dxa"/>
            <w:vMerge/>
          </w:tcPr>
          <w:p w:rsidR="00960F11" w:rsidRPr="004110B0" w:rsidRDefault="00960F11" w:rsidP="00960F11">
            <w:pPr>
              <w:spacing w:line="360" w:lineRule="auto"/>
              <w:rPr>
                <w:rFonts w:ascii="Arial" w:hAnsi="Arial" w:cs="Arial"/>
                <w:b/>
                <w:sz w:val="19"/>
                <w:szCs w:val="19"/>
              </w:rPr>
            </w:pP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15_2.7</w:t>
            </w:r>
          </w:p>
          <w:p w:rsidR="00960F11" w:rsidRDefault="00960F11" w:rsidP="00960F11">
            <w:pPr>
              <w:spacing w:line="360" w:lineRule="auto"/>
              <w:rPr>
                <w:rFonts w:ascii="Arial" w:hAnsi="Arial" w:cs="Arial"/>
                <w:sz w:val="19"/>
                <w:szCs w:val="19"/>
              </w:rPr>
            </w:pPr>
            <w:r>
              <w:rPr>
                <w:rFonts w:ascii="Arial" w:hAnsi="Arial" w:cs="Arial"/>
                <w:sz w:val="19"/>
                <w:szCs w:val="19"/>
              </w:rPr>
              <w:t>1500ha planted in BBC partnership</w:t>
            </w: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No movement</w:t>
            </w:r>
          </w:p>
        </w:tc>
        <w:tc>
          <w:tcPr>
            <w:tcW w:w="3969" w:type="dxa"/>
          </w:tcPr>
          <w:p w:rsidR="00960F11" w:rsidRDefault="00960F11" w:rsidP="00960F11">
            <w:pPr>
              <w:spacing w:line="360" w:lineRule="auto"/>
              <w:rPr>
                <w:rFonts w:ascii="Arial" w:hAnsi="Arial" w:cs="Arial"/>
                <w:sz w:val="19"/>
                <w:szCs w:val="19"/>
              </w:rPr>
            </w:pPr>
            <w:r>
              <w:rPr>
                <w:rFonts w:ascii="Arial" w:hAnsi="Arial" w:cs="Arial"/>
                <w:sz w:val="19"/>
                <w:szCs w:val="19"/>
              </w:rPr>
              <w:t>BBC did not get funding from Land Bank</w:t>
            </w:r>
          </w:p>
        </w:tc>
        <w:tc>
          <w:tcPr>
            <w:tcW w:w="3402" w:type="dxa"/>
            <w:shd w:val="clear" w:color="auto" w:fill="auto"/>
          </w:tcPr>
          <w:p w:rsidR="00960F11" w:rsidRDefault="00960F11" w:rsidP="00960F11">
            <w:pPr>
              <w:spacing w:line="360" w:lineRule="auto"/>
              <w:rPr>
                <w:rFonts w:ascii="Arial" w:hAnsi="Arial" w:cs="Arial"/>
                <w:sz w:val="19"/>
                <w:szCs w:val="19"/>
              </w:rPr>
            </w:pPr>
            <w:r>
              <w:rPr>
                <w:rFonts w:ascii="Arial" w:hAnsi="Arial" w:cs="Arial"/>
                <w:sz w:val="19"/>
                <w:szCs w:val="19"/>
              </w:rPr>
              <w:t>None possible – 100% third party reliant</w:t>
            </w:r>
          </w:p>
        </w:tc>
        <w:tc>
          <w:tcPr>
            <w:tcW w:w="2409" w:type="dxa"/>
            <w:shd w:val="clear" w:color="auto" w:fill="FFC000"/>
          </w:tcPr>
          <w:p w:rsidR="00960F11" w:rsidRDefault="00960F11" w:rsidP="00960F11">
            <w:pPr>
              <w:spacing w:line="360" w:lineRule="auto"/>
              <w:rPr>
                <w:rFonts w:ascii="Arial" w:hAnsi="Arial" w:cs="Arial"/>
                <w:sz w:val="19"/>
                <w:szCs w:val="19"/>
              </w:rPr>
            </w:pPr>
            <w:r>
              <w:rPr>
                <w:rFonts w:ascii="Arial" w:hAnsi="Arial" w:cs="Arial"/>
                <w:sz w:val="19"/>
                <w:szCs w:val="19"/>
              </w:rPr>
              <w:t>High chance of non-achievement by 30/06/2018</w:t>
            </w:r>
          </w:p>
        </w:tc>
      </w:tr>
      <w:tr w:rsidR="00960F11" w:rsidRPr="005D0FA8" w:rsidTr="00960F11">
        <w:trPr>
          <w:trHeight w:val="1333"/>
        </w:trPr>
        <w:tc>
          <w:tcPr>
            <w:tcW w:w="1555" w:type="dxa"/>
            <w:vMerge/>
          </w:tcPr>
          <w:p w:rsidR="00960F11" w:rsidRPr="004110B0" w:rsidRDefault="00960F11" w:rsidP="00960F11">
            <w:pPr>
              <w:spacing w:line="360" w:lineRule="auto"/>
              <w:rPr>
                <w:rFonts w:ascii="Arial" w:hAnsi="Arial" w:cs="Arial"/>
                <w:b/>
                <w:sz w:val="19"/>
                <w:szCs w:val="19"/>
              </w:rPr>
            </w:pP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16_2.8</w:t>
            </w:r>
          </w:p>
          <w:p w:rsidR="00960F11" w:rsidRDefault="00960F11" w:rsidP="00960F11">
            <w:pPr>
              <w:spacing w:line="360" w:lineRule="auto"/>
              <w:rPr>
                <w:rFonts w:ascii="Arial" w:hAnsi="Arial" w:cs="Arial"/>
                <w:sz w:val="19"/>
                <w:szCs w:val="19"/>
              </w:rPr>
            </w:pPr>
            <w:r>
              <w:rPr>
                <w:rFonts w:ascii="Arial" w:hAnsi="Arial" w:cs="Arial"/>
                <w:sz w:val="19"/>
                <w:szCs w:val="19"/>
              </w:rPr>
              <w:t>3ha crop maintenance of pomegranate pilot</w:t>
            </w: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No movement</w:t>
            </w:r>
          </w:p>
        </w:tc>
        <w:tc>
          <w:tcPr>
            <w:tcW w:w="3969" w:type="dxa"/>
          </w:tcPr>
          <w:p w:rsidR="00960F11" w:rsidRDefault="00960F11" w:rsidP="00960F11">
            <w:pPr>
              <w:spacing w:line="360" w:lineRule="auto"/>
              <w:rPr>
                <w:rFonts w:ascii="Arial" w:hAnsi="Arial" w:cs="Arial"/>
                <w:sz w:val="19"/>
                <w:szCs w:val="19"/>
              </w:rPr>
            </w:pPr>
            <w:r>
              <w:rPr>
                <w:rFonts w:ascii="Arial" w:hAnsi="Arial" w:cs="Arial"/>
                <w:sz w:val="19"/>
                <w:szCs w:val="19"/>
              </w:rPr>
              <w:t>Poor planning affected setting of target for delivery of inputs in incorrect period</w:t>
            </w:r>
          </w:p>
        </w:tc>
        <w:tc>
          <w:tcPr>
            <w:tcW w:w="3402" w:type="dxa"/>
            <w:shd w:val="clear" w:color="auto" w:fill="auto"/>
          </w:tcPr>
          <w:p w:rsidR="00960F11" w:rsidRDefault="00960F11" w:rsidP="00960F11">
            <w:pPr>
              <w:spacing w:line="360" w:lineRule="auto"/>
              <w:rPr>
                <w:rFonts w:ascii="Arial" w:hAnsi="Arial" w:cs="Arial"/>
                <w:sz w:val="19"/>
                <w:szCs w:val="19"/>
              </w:rPr>
            </w:pPr>
            <w:r>
              <w:rPr>
                <w:rFonts w:ascii="Arial" w:hAnsi="Arial" w:cs="Arial"/>
                <w:sz w:val="19"/>
                <w:szCs w:val="19"/>
              </w:rPr>
              <w:t>Adjust target due date to Quarter 3</w:t>
            </w:r>
          </w:p>
        </w:tc>
        <w:tc>
          <w:tcPr>
            <w:tcW w:w="2409" w:type="dxa"/>
            <w:shd w:val="clear" w:color="auto" w:fill="92D050"/>
          </w:tcPr>
          <w:p w:rsidR="00960F11" w:rsidRDefault="00960F11" w:rsidP="00960F11">
            <w:pPr>
              <w:spacing w:line="360" w:lineRule="auto"/>
              <w:rPr>
                <w:rFonts w:ascii="Arial" w:hAnsi="Arial" w:cs="Arial"/>
                <w:sz w:val="19"/>
                <w:szCs w:val="19"/>
              </w:rPr>
            </w:pPr>
            <w:r>
              <w:rPr>
                <w:rFonts w:ascii="Arial" w:hAnsi="Arial" w:cs="Arial"/>
                <w:sz w:val="19"/>
                <w:szCs w:val="19"/>
              </w:rPr>
              <w:t>Will be achieved</w:t>
            </w:r>
          </w:p>
        </w:tc>
      </w:tr>
      <w:tr w:rsidR="00960F11" w:rsidRPr="005D0FA8" w:rsidTr="00960F11">
        <w:trPr>
          <w:trHeight w:val="1333"/>
        </w:trPr>
        <w:tc>
          <w:tcPr>
            <w:tcW w:w="1555" w:type="dxa"/>
            <w:vMerge/>
          </w:tcPr>
          <w:p w:rsidR="00960F11" w:rsidRPr="004110B0" w:rsidRDefault="00960F11" w:rsidP="00960F11">
            <w:pPr>
              <w:spacing w:line="360" w:lineRule="auto"/>
              <w:rPr>
                <w:rFonts w:ascii="Arial" w:hAnsi="Arial" w:cs="Arial"/>
                <w:b/>
                <w:sz w:val="19"/>
                <w:szCs w:val="19"/>
              </w:rPr>
            </w:pP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17_2.9 – 2.12</w:t>
            </w:r>
          </w:p>
          <w:p w:rsidR="00960F11" w:rsidRDefault="00960F11" w:rsidP="00960F11">
            <w:pPr>
              <w:spacing w:line="360" w:lineRule="auto"/>
              <w:rPr>
                <w:rFonts w:ascii="Arial" w:hAnsi="Arial" w:cs="Arial"/>
                <w:sz w:val="19"/>
                <w:szCs w:val="19"/>
              </w:rPr>
            </w:pPr>
            <w:r>
              <w:rPr>
                <w:rFonts w:ascii="Arial" w:hAnsi="Arial" w:cs="Arial"/>
                <w:sz w:val="19"/>
                <w:szCs w:val="19"/>
              </w:rPr>
              <w:t>Offtakes</w:t>
            </w: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No movement</w:t>
            </w:r>
          </w:p>
        </w:tc>
        <w:tc>
          <w:tcPr>
            <w:tcW w:w="3969" w:type="dxa"/>
          </w:tcPr>
          <w:p w:rsidR="00960F11" w:rsidRDefault="00960F11" w:rsidP="00960F11">
            <w:pPr>
              <w:spacing w:line="360" w:lineRule="auto"/>
              <w:rPr>
                <w:rFonts w:ascii="Arial" w:hAnsi="Arial" w:cs="Arial"/>
                <w:sz w:val="19"/>
                <w:szCs w:val="19"/>
              </w:rPr>
            </w:pPr>
            <w:r>
              <w:rPr>
                <w:rFonts w:ascii="Arial" w:hAnsi="Arial" w:cs="Arial"/>
                <w:sz w:val="19"/>
                <w:szCs w:val="19"/>
              </w:rPr>
              <w:t>Ineffective marketing and identification of alternate potential buyers as letters of intent not coming to fruition into signed contracts</w:t>
            </w:r>
          </w:p>
        </w:tc>
        <w:tc>
          <w:tcPr>
            <w:tcW w:w="3402" w:type="dxa"/>
            <w:shd w:val="clear" w:color="auto" w:fill="auto"/>
          </w:tcPr>
          <w:p w:rsidR="00960F11" w:rsidRDefault="00960F11" w:rsidP="00960F11">
            <w:pPr>
              <w:spacing w:line="360" w:lineRule="auto"/>
              <w:rPr>
                <w:rFonts w:ascii="Arial" w:hAnsi="Arial" w:cs="Arial"/>
                <w:sz w:val="19"/>
                <w:szCs w:val="19"/>
              </w:rPr>
            </w:pPr>
            <w:r>
              <w:rPr>
                <w:rFonts w:ascii="Arial" w:hAnsi="Arial" w:cs="Arial"/>
                <w:sz w:val="19"/>
                <w:szCs w:val="19"/>
              </w:rPr>
              <w:t>Devise alternate marketing strategy, or engage technical partners on issues of no-performance</w:t>
            </w:r>
          </w:p>
        </w:tc>
        <w:tc>
          <w:tcPr>
            <w:tcW w:w="2409" w:type="dxa"/>
            <w:shd w:val="clear" w:color="auto" w:fill="FFC000"/>
          </w:tcPr>
          <w:p w:rsidR="00960F11" w:rsidRDefault="00960F11" w:rsidP="00960F11">
            <w:pPr>
              <w:spacing w:line="360" w:lineRule="auto"/>
              <w:rPr>
                <w:rFonts w:ascii="Arial" w:hAnsi="Arial" w:cs="Arial"/>
                <w:sz w:val="19"/>
                <w:szCs w:val="19"/>
              </w:rPr>
            </w:pPr>
            <w:r>
              <w:rPr>
                <w:rFonts w:ascii="Arial" w:hAnsi="Arial" w:cs="Arial"/>
                <w:sz w:val="19"/>
                <w:szCs w:val="19"/>
              </w:rPr>
              <w:t>High chance of non-achievement by 30/06/2018</w:t>
            </w:r>
          </w:p>
        </w:tc>
      </w:tr>
      <w:tr w:rsidR="00960F11" w:rsidRPr="008A5AE5" w:rsidTr="00960F11">
        <w:trPr>
          <w:trHeight w:val="647"/>
        </w:trPr>
        <w:tc>
          <w:tcPr>
            <w:tcW w:w="1555" w:type="dxa"/>
            <w:shd w:val="clear" w:color="auto" w:fill="595959" w:themeFill="text1" w:themeFillTint="A6"/>
          </w:tcPr>
          <w:p w:rsidR="00960F11" w:rsidRPr="008A5AE5" w:rsidRDefault="00960F11" w:rsidP="00960F11">
            <w:pPr>
              <w:spacing w:line="360" w:lineRule="auto"/>
              <w:rPr>
                <w:rFonts w:ascii="Arial" w:hAnsi="Arial" w:cs="Arial"/>
                <w:b/>
                <w:color w:val="FFFFFF" w:themeColor="background1"/>
                <w:sz w:val="19"/>
                <w:szCs w:val="19"/>
              </w:rPr>
            </w:pPr>
            <w:proofErr w:type="spellStart"/>
            <w:r>
              <w:rPr>
                <w:rFonts w:ascii="Arial" w:hAnsi="Arial" w:cs="Arial"/>
                <w:b/>
                <w:color w:val="FFFFFF" w:themeColor="background1"/>
                <w:sz w:val="19"/>
                <w:szCs w:val="19"/>
              </w:rPr>
              <w:lastRenderedPageBreak/>
              <w:t>Programme</w:t>
            </w:r>
            <w:proofErr w:type="spellEnd"/>
          </w:p>
        </w:tc>
        <w:tc>
          <w:tcPr>
            <w:tcW w:w="2268" w:type="dxa"/>
            <w:shd w:val="clear" w:color="auto" w:fill="595959" w:themeFill="text1" w:themeFillTint="A6"/>
          </w:tcPr>
          <w:p w:rsidR="00960F11" w:rsidRPr="008A5AE5" w:rsidRDefault="00960F11" w:rsidP="00960F11">
            <w:pPr>
              <w:spacing w:line="360" w:lineRule="auto"/>
              <w:rPr>
                <w:rFonts w:ascii="Arial" w:hAnsi="Arial" w:cs="Arial"/>
                <w:b/>
                <w:color w:val="FFFFFF" w:themeColor="background1"/>
                <w:sz w:val="19"/>
                <w:szCs w:val="19"/>
              </w:rPr>
            </w:pPr>
            <w:r w:rsidRPr="008A5AE5">
              <w:rPr>
                <w:rFonts w:ascii="Arial" w:hAnsi="Arial" w:cs="Arial"/>
                <w:b/>
                <w:color w:val="FFFFFF" w:themeColor="background1"/>
                <w:sz w:val="19"/>
                <w:szCs w:val="19"/>
              </w:rPr>
              <w:t>Performance</w:t>
            </w:r>
            <w:r>
              <w:rPr>
                <w:rFonts w:ascii="Arial" w:hAnsi="Arial" w:cs="Arial"/>
                <w:b/>
                <w:color w:val="FFFFFF" w:themeColor="background1"/>
                <w:sz w:val="19"/>
                <w:szCs w:val="19"/>
              </w:rPr>
              <w:t xml:space="preserve"> Area</w:t>
            </w:r>
          </w:p>
        </w:tc>
        <w:tc>
          <w:tcPr>
            <w:tcW w:w="2268" w:type="dxa"/>
            <w:shd w:val="clear" w:color="auto" w:fill="595959" w:themeFill="text1" w:themeFillTint="A6"/>
          </w:tcPr>
          <w:p w:rsidR="00960F11" w:rsidRPr="008A5AE5" w:rsidRDefault="00960F11"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Status at Midyear</w:t>
            </w:r>
          </w:p>
        </w:tc>
        <w:tc>
          <w:tcPr>
            <w:tcW w:w="3969" w:type="dxa"/>
            <w:shd w:val="clear" w:color="auto" w:fill="595959" w:themeFill="text1" w:themeFillTint="A6"/>
          </w:tcPr>
          <w:p w:rsidR="00960F11" w:rsidRPr="008A5AE5" w:rsidRDefault="00960F11"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Reason for Non-achievement</w:t>
            </w:r>
          </w:p>
        </w:tc>
        <w:tc>
          <w:tcPr>
            <w:tcW w:w="3402" w:type="dxa"/>
            <w:shd w:val="clear" w:color="auto" w:fill="595959" w:themeFill="text1" w:themeFillTint="A6"/>
          </w:tcPr>
          <w:p w:rsidR="00960F11" w:rsidRDefault="00960F11"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Remedial Action</w:t>
            </w:r>
          </w:p>
        </w:tc>
        <w:tc>
          <w:tcPr>
            <w:tcW w:w="2409" w:type="dxa"/>
            <w:shd w:val="clear" w:color="auto" w:fill="595959" w:themeFill="text1" w:themeFillTint="A6"/>
          </w:tcPr>
          <w:p w:rsidR="00960F11" w:rsidRPr="008A5AE5" w:rsidRDefault="00960F11" w:rsidP="00960F11">
            <w:pPr>
              <w:spacing w:line="360" w:lineRule="auto"/>
              <w:rPr>
                <w:rFonts w:ascii="Arial" w:hAnsi="Arial" w:cs="Arial"/>
                <w:b/>
                <w:color w:val="FFFFFF" w:themeColor="background1"/>
                <w:sz w:val="19"/>
                <w:szCs w:val="19"/>
              </w:rPr>
            </w:pPr>
            <w:r>
              <w:rPr>
                <w:rFonts w:ascii="Arial" w:hAnsi="Arial" w:cs="Arial"/>
                <w:b/>
                <w:color w:val="FFFFFF" w:themeColor="background1"/>
                <w:sz w:val="19"/>
                <w:szCs w:val="19"/>
              </w:rPr>
              <w:t>Expected Outcome at 30 June 2018</w:t>
            </w:r>
          </w:p>
        </w:tc>
      </w:tr>
      <w:tr w:rsidR="00BC421E" w:rsidRPr="005D0FA8" w:rsidTr="00960F11">
        <w:trPr>
          <w:trHeight w:val="1532"/>
        </w:trPr>
        <w:tc>
          <w:tcPr>
            <w:tcW w:w="1555" w:type="dxa"/>
            <w:vMerge w:val="restart"/>
          </w:tcPr>
          <w:p w:rsidR="00BC421E" w:rsidRPr="004110B0" w:rsidRDefault="00BC421E" w:rsidP="00960F11">
            <w:pPr>
              <w:spacing w:line="360" w:lineRule="auto"/>
              <w:rPr>
                <w:rFonts w:ascii="Arial" w:hAnsi="Arial" w:cs="Arial"/>
                <w:b/>
                <w:sz w:val="19"/>
                <w:szCs w:val="19"/>
              </w:rPr>
            </w:pPr>
            <w:r>
              <w:rPr>
                <w:rFonts w:ascii="Arial" w:hAnsi="Arial" w:cs="Arial"/>
                <w:b/>
                <w:sz w:val="19"/>
                <w:szCs w:val="19"/>
              </w:rPr>
              <w:t>Investment promotion</w:t>
            </w:r>
          </w:p>
        </w:tc>
        <w:tc>
          <w:tcPr>
            <w:tcW w:w="2268" w:type="dxa"/>
          </w:tcPr>
          <w:p w:rsidR="00BC421E" w:rsidRDefault="00BC421E" w:rsidP="00960F11">
            <w:pPr>
              <w:spacing w:line="360" w:lineRule="auto"/>
              <w:rPr>
                <w:rFonts w:ascii="Arial" w:hAnsi="Arial" w:cs="Arial"/>
                <w:sz w:val="19"/>
                <w:szCs w:val="19"/>
              </w:rPr>
            </w:pPr>
            <w:r>
              <w:rPr>
                <w:rFonts w:ascii="Arial" w:hAnsi="Arial" w:cs="Arial"/>
                <w:sz w:val="19"/>
                <w:szCs w:val="19"/>
              </w:rPr>
              <w:t>19_3.2</w:t>
            </w:r>
          </w:p>
          <w:p w:rsidR="00BC421E" w:rsidRDefault="00BC421E" w:rsidP="00960F11">
            <w:pPr>
              <w:spacing w:line="360" w:lineRule="auto"/>
              <w:rPr>
                <w:rFonts w:ascii="Arial" w:hAnsi="Arial" w:cs="Arial"/>
                <w:sz w:val="19"/>
                <w:szCs w:val="19"/>
              </w:rPr>
            </w:pPr>
            <w:r>
              <w:rPr>
                <w:rFonts w:ascii="Arial" w:hAnsi="Arial" w:cs="Arial"/>
                <w:sz w:val="19"/>
                <w:szCs w:val="19"/>
              </w:rPr>
              <w:t xml:space="preserve">Electrical upgrade to </w:t>
            </w:r>
            <w:proofErr w:type="spellStart"/>
            <w:r>
              <w:rPr>
                <w:rFonts w:ascii="Arial" w:hAnsi="Arial" w:cs="Arial"/>
                <w:sz w:val="19"/>
                <w:szCs w:val="19"/>
              </w:rPr>
              <w:t>komani</w:t>
            </w:r>
            <w:proofErr w:type="spellEnd"/>
            <w:r>
              <w:rPr>
                <w:rFonts w:ascii="Arial" w:hAnsi="Arial" w:cs="Arial"/>
                <w:sz w:val="19"/>
                <w:szCs w:val="19"/>
              </w:rPr>
              <w:t xml:space="preserve"> industrial park </w:t>
            </w:r>
          </w:p>
        </w:tc>
        <w:tc>
          <w:tcPr>
            <w:tcW w:w="2268" w:type="dxa"/>
          </w:tcPr>
          <w:p w:rsidR="00BC421E" w:rsidRDefault="00BC421E" w:rsidP="00960F11">
            <w:pPr>
              <w:spacing w:line="360" w:lineRule="auto"/>
              <w:rPr>
                <w:rFonts w:ascii="Arial" w:hAnsi="Arial" w:cs="Arial"/>
                <w:sz w:val="19"/>
                <w:szCs w:val="19"/>
              </w:rPr>
            </w:pPr>
            <w:r>
              <w:rPr>
                <w:rFonts w:ascii="Arial" w:hAnsi="Arial" w:cs="Arial"/>
                <w:sz w:val="19"/>
                <w:szCs w:val="19"/>
              </w:rPr>
              <w:t>No movement</w:t>
            </w:r>
          </w:p>
          <w:p w:rsidR="00BC421E" w:rsidRDefault="00BC421E" w:rsidP="00960F11">
            <w:pPr>
              <w:spacing w:line="360" w:lineRule="auto"/>
              <w:rPr>
                <w:rFonts w:ascii="Arial" w:hAnsi="Arial" w:cs="Arial"/>
                <w:sz w:val="19"/>
                <w:szCs w:val="19"/>
              </w:rPr>
            </w:pPr>
          </w:p>
        </w:tc>
        <w:tc>
          <w:tcPr>
            <w:tcW w:w="3969" w:type="dxa"/>
          </w:tcPr>
          <w:p w:rsidR="00BC421E" w:rsidRDefault="00BC421E" w:rsidP="00960F11">
            <w:pPr>
              <w:spacing w:line="360" w:lineRule="auto"/>
              <w:rPr>
                <w:rFonts w:ascii="Arial" w:hAnsi="Arial" w:cs="Arial"/>
                <w:sz w:val="19"/>
                <w:szCs w:val="19"/>
              </w:rPr>
            </w:pPr>
            <w:r>
              <w:rPr>
                <w:rFonts w:ascii="Arial" w:hAnsi="Arial" w:cs="Arial"/>
                <w:sz w:val="19"/>
                <w:szCs w:val="19"/>
              </w:rPr>
              <w:t xml:space="preserve">Enoch </w:t>
            </w:r>
            <w:proofErr w:type="spellStart"/>
            <w:r>
              <w:rPr>
                <w:rFonts w:ascii="Arial" w:hAnsi="Arial" w:cs="Arial"/>
                <w:sz w:val="19"/>
                <w:szCs w:val="19"/>
              </w:rPr>
              <w:t>Mgijima</w:t>
            </w:r>
            <w:proofErr w:type="spellEnd"/>
            <w:r>
              <w:rPr>
                <w:rFonts w:ascii="Arial" w:hAnsi="Arial" w:cs="Arial"/>
                <w:sz w:val="19"/>
                <w:szCs w:val="19"/>
              </w:rPr>
              <w:t xml:space="preserve"> has no implementation budget</w:t>
            </w:r>
          </w:p>
        </w:tc>
        <w:tc>
          <w:tcPr>
            <w:tcW w:w="3402" w:type="dxa"/>
            <w:shd w:val="clear" w:color="auto" w:fill="auto"/>
          </w:tcPr>
          <w:p w:rsidR="00BC421E" w:rsidRDefault="00BC421E" w:rsidP="00960F11">
            <w:pPr>
              <w:spacing w:line="360" w:lineRule="auto"/>
              <w:rPr>
                <w:rFonts w:ascii="Arial" w:hAnsi="Arial" w:cs="Arial"/>
                <w:sz w:val="19"/>
                <w:szCs w:val="19"/>
              </w:rPr>
            </w:pPr>
            <w:r>
              <w:rPr>
                <w:rFonts w:ascii="Arial" w:hAnsi="Arial" w:cs="Arial"/>
                <w:sz w:val="19"/>
                <w:szCs w:val="19"/>
              </w:rPr>
              <w:t>Remove target from APP</w:t>
            </w:r>
          </w:p>
        </w:tc>
        <w:tc>
          <w:tcPr>
            <w:tcW w:w="2409" w:type="dxa"/>
            <w:shd w:val="clear" w:color="auto" w:fill="FFC000"/>
          </w:tcPr>
          <w:p w:rsidR="00BC421E" w:rsidRDefault="00BC421E" w:rsidP="00960F11">
            <w:pPr>
              <w:spacing w:line="360" w:lineRule="auto"/>
              <w:rPr>
                <w:rFonts w:ascii="Arial" w:hAnsi="Arial" w:cs="Arial"/>
                <w:sz w:val="19"/>
                <w:szCs w:val="19"/>
              </w:rPr>
            </w:pPr>
            <w:r>
              <w:rPr>
                <w:rFonts w:ascii="Arial" w:hAnsi="Arial" w:cs="Arial"/>
                <w:sz w:val="19"/>
                <w:szCs w:val="19"/>
              </w:rPr>
              <w:t>High chance of non-achievement by 30/06/2018</w:t>
            </w:r>
          </w:p>
        </w:tc>
      </w:tr>
      <w:tr w:rsidR="00BC421E" w:rsidRPr="005D0FA8" w:rsidTr="00BC421E">
        <w:trPr>
          <w:trHeight w:val="1333"/>
        </w:trPr>
        <w:tc>
          <w:tcPr>
            <w:tcW w:w="1555" w:type="dxa"/>
            <w:vMerge/>
          </w:tcPr>
          <w:p w:rsidR="00BC421E" w:rsidRDefault="00BC421E" w:rsidP="00960F11">
            <w:pPr>
              <w:spacing w:line="360" w:lineRule="auto"/>
              <w:rPr>
                <w:rFonts w:ascii="Arial" w:hAnsi="Arial" w:cs="Arial"/>
                <w:b/>
                <w:sz w:val="19"/>
                <w:szCs w:val="19"/>
              </w:rPr>
            </w:pPr>
          </w:p>
        </w:tc>
        <w:tc>
          <w:tcPr>
            <w:tcW w:w="2268" w:type="dxa"/>
          </w:tcPr>
          <w:p w:rsidR="00BC421E" w:rsidRDefault="00BC421E" w:rsidP="00960F11">
            <w:pPr>
              <w:spacing w:line="360" w:lineRule="auto"/>
              <w:rPr>
                <w:rFonts w:ascii="Arial" w:hAnsi="Arial" w:cs="Arial"/>
                <w:sz w:val="19"/>
                <w:szCs w:val="19"/>
              </w:rPr>
            </w:pPr>
            <w:r>
              <w:rPr>
                <w:rFonts w:ascii="Arial" w:hAnsi="Arial" w:cs="Arial"/>
                <w:sz w:val="19"/>
                <w:szCs w:val="19"/>
              </w:rPr>
              <w:t>20_3.3</w:t>
            </w:r>
          </w:p>
          <w:p w:rsidR="00BC421E" w:rsidRDefault="00BC421E" w:rsidP="00960F11">
            <w:pPr>
              <w:spacing w:line="360" w:lineRule="auto"/>
              <w:rPr>
                <w:rFonts w:ascii="Arial" w:hAnsi="Arial" w:cs="Arial"/>
                <w:sz w:val="19"/>
                <w:szCs w:val="19"/>
              </w:rPr>
            </w:pPr>
            <w:r>
              <w:rPr>
                <w:rFonts w:ascii="Arial" w:hAnsi="Arial" w:cs="Arial"/>
                <w:sz w:val="19"/>
                <w:szCs w:val="19"/>
              </w:rPr>
              <w:t>Investor event</w:t>
            </w:r>
          </w:p>
        </w:tc>
        <w:tc>
          <w:tcPr>
            <w:tcW w:w="2268" w:type="dxa"/>
          </w:tcPr>
          <w:p w:rsidR="00BC421E" w:rsidRDefault="00BC421E" w:rsidP="00960F11">
            <w:pPr>
              <w:spacing w:line="360" w:lineRule="auto"/>
              <w:rPr>
                <w:rFonts w:ascii="Arial" w:hAnsi="Arial" w:cs="Arial"/>
                <w:sz w:val="19"/>
                <w:szCs w:val="19"/>
              </w:rPr>
            </w:pPr>
            <w:r>
              <w:rPr>
                <w:rFonts w:ascii="Arial" w:hAnsi="Arial" w:cs="Arial"/>
                <w:sz w:val="19"/>
                <w:szCs w:val="19"/>
              </w:rPr>
              <w:t>No movement</w:t>
            </w:r>
          </w:p>
        </w:tc>
        <w:tc>
          <w:tcPr>
            <w:tcW w:w="3969" w:type="dxa"/>
          </w:tcPr>
          <w:p w:rsidR="00BC421E" w:rsidRDefault="00BC421E" w:rsidP="00BC421E">
            <w:pPr>
              <w:spacing w:line="360" w:lineRule="auto"/>
              <w:rPr>
                <w:rFonts w:ascii="Arial" w:hAnsi="Arial" w:cs="Arial"/>
                <w:sz w:val="19"/>
                <w:szCs w:val="19"/>
              </w:rPr>
            </w:pPr>
            <w:r>
              <w:rPr>
                <w:rFonts w:ascii="Arial" w:hAnsi="Arial" w:cs="Arial"/>
                <w:sz w:val="19"/>
                <w:szCs w:val="19"/>
              </w:rPr>
              <w:t>Target set for 30/03/2018</w:t>
            </w:r>
          </w:p>
        </w:tc>
        <w:tc>
          <w:tcPr>
            <w:tcW w:w="3402" w:type="dxa"/>
            <w:shd w:val="clear" w:color="auto" w:fill="auto"/>
          </w:tcPr>
          <w:p w:rsidR="00BC421E" w:rsidRDefault="00BC421E" w:rsidP="00960F11">
            <w:pPr>
              <w:spacing w:line="360" w:lineRule="auto"/>
              <w:rPr>
                <w:rFonts w:ascii="Arial" w:hAnsi="Arial" w:cs="Arial"/>
                <w:sz w:val="19"/>
                <w:szCs w:val="19"/>
              </w:rPr>
            </w:pPr>
            <w:r>
              <w:rPr>
                <w:rFonts w:ascii="Arial" w:hAnsi="Arial" w:cs="Arial"/>
                <w:sz w:val="19"/>
                <w:szCs w:val="19"/>
              </w:rPr>
              <w:t xml:space="preserve">Investor event to be held as part of the strategic planning </w:t>
            </w:r>
            <w:proofErr w:type="spellStart"/>
            <w:r>
              <w:rPr>
                <w:rFonts w:ascii="Arial" w:hAnsi="Arial" w:cs="Arial"/>
                <w:sz w:val="19"/>
                <w:szCs w:val="19"/>
              </w:rPr>
              <w:t>programme</w:t>
            </w:r>
            <w:proofErr w:type="spellEnd"/>
            <w:r>
              <w:rPr>
                <w:rFonts w:ascii="Arial" w:hAnsi="Arial" w:cs="Arial"/>
                <w:sz w:val="19"/>
                <w:szCs w:val="19"/>
              </w:rPr>
              <w:t xml:space="preserve"> in Feb/March 2018</w:t>
            </w:r>
          </w:p>
        </w:tc>
        <w:tc>
          <w:tcPr>
            <w:tcW w:w="2409" w:type="dxa"/>
            <w:shd w:val="clear" w:color="auto" w:fill="92D050"/>
          </w:tcPr>
          <w:p w:rsidR="00BC421E" w:rsidRDefault="00BC421E" w:rsidP="00960F11">
            <w:pPr>
              <w:spacing w:line="360" w:lineRule="auto"/>
              <w:rPr>
                <w:rFonts w:ascii="Arial" w:hAnsi="Arial" w:cs="Arial"/>
                <w:sz w:val="19"/>
                <w:szCs w:val="19"/>
              </w:rPr>
            </w:pPr>
            <w:r>
              <w:rPr>
                <w:rFonts w:ascii="Arial" w:hAnsi="Arial" w:cs="Arial"/>
                <w:sz w:val="19"/>
                <w:szCs w:val="19"/>
              </w:rPr>
              <w:t>Will be achieved</w:t>
            </w:r>
          </w:p>
        </w:tc>
      </w:tr>
      <w:tr w:rsidR="00960F11" w:rsidRPr="005D0FA8" w:rsidTr="00BC421E">
        <w:trPr>
          <w:trHeight w:val="1333"/>
        </w:trPr>
        <w:tc>
          <w:tcPr>
            <w:tcW w:w="1555" w:type="dxa"/>
          </w:tcPr>
          <w:p w:rsidR="00960F11" w:rsidRPr="004110B0" w:rsidRDefault="00960F11" w:rsidP="00960F11">
            <w:pPr>
              <w:spacing w:line="360" w:lineRule="auto"/>
              <w:rPr>
                <w:rFonts w:ascii="Arial" w:hAnsi="Arial" w:cs="Arial"/>
                <w:b/>
                <w:sz w:val="19"/>
                <w:szCs w:val="19"/>
              </w:rPr>
            </w:pPr>
            <w:r>
              <w:rPr>
                <w:rFonts w:ascii="Arial" w:hAnsi="Arial" w:cs="Arial"/>
                <w:b/>
                <w:sz w:val="19"/>
                <w:szCs w:val="19"/>
              </w:rPr>
              <w:t>Job creation</w:t>
            </w:r>
          </w:p>
          <w:p w:rsidR="00960F11" w:rsidRPr="004110B0" w:rsidRDefault="00960F11" w:rsidP="00960F11">
            <w:pPr>
              <w:spacing w:line="360" w:lineRule="auto"/>
              <w:rPr>
                <w:rFonts w:ascii="Arial" w:hAnsi="Arial" w:cs="Arial"/>
                <w:b/>
                <w:sz w:val="19"/>
                <w:szCs w:val="19"/>
              </w:rPr>
            </w:pP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21_3.4</w:t>
            </w:r>
          </w:p>
          <w:p w:rsidR="00960F11" w:rsidRPr="005D0FA8" w:rsidRDefault="00BC421E" w:rsidP="00960F11">
            <w:pPr>
              <w:spacing w:line="360" w:lineRule="auto"/>
              <w:rPr>
                <w:rFonts w:ascii="Arial" w:hAnsi="Arial" w:cs="Arial"/>
                <w:sz w:val="19"/>
                <w:szCs w:val="19"/>
              </w:rPr>
            </w:pPr>
            <w:r>
              <w:rPr>
                <w:rFonts w:ascii="Arial" w:hAnsi="Arial" w:cs="Arial"/>
                <w:sz w:val="19"/>
                <w:szCs w:val="19"/>
              </w:rPr>
              <w:t>50 j</w:t>
            </w:r>
            <w:r w:rsidR="00960F11">
              <w:rPr>
                <w:rFonts w:ascii="Arial" w:hAnsi="Arial" w:cs="Arial"/>
                <w:sz w:val="19"/>
                <w:szCs w:val="19"/>
              </w:rPr>
              <w:t xml:space="preserve">obs created in   </w:t>
            </w:r>
            <w:r>
              <w:rPr>
                <w:rFonts w:ascii="Arial" w:hAnsi="Arial" w:cs="Arial"/>
                <w:sz w:val="19"/>
                <w:szCs w:val="19"/>
              </w:rPr>
              <w:t>CHDA projects</w:t>
            </w:r>
          </w:p>
        </w:tc>
        <w:tc>
          <w:tcPr>
            <w:tcW w:w="2268" w:type="dxa"/>
          </w:tcPr>
          <w:p w:rsidR="00960F11" w:rsidRDefault="00960F11" w:rsidP="00960F11">
            <w:pPr>
              <w:spacing w:line="360" w:lineRule="auto"/>
              <w:rPr>
                <w:rFonts w:ascii="Arial" w:hAnsi="Arial" w:cs="Arial"/>
                <w:sz w:val="19"/>
                <w:szCs w:val="19"/>
              </w:rPr>
            </w:pPr>
            <w:r>
              <w:rPr>
                <w:rFonts w:ascii="Arial" w:hAnsi="Arial" w:cs="Arial"/>
                <w:sz w:val="19"/>
                <w:szCs w:val="19"/>
              </w:rPr>
              <w:t xml:space="preserve">40% of target achieved for job creation  </w:t>
            </w:r>
          </w:p>
        </w:tc>
        <w:tc>
          <w:tcPr>
            <w:tcW w:w="3969" w:type="dxa"/>
          </w:tcPr>
          <w:p w:rsidR="00960F11" w:rsidRDefault="00960F11" w:rsidP="00BC421E">
            <w:pPr>
              <w:spacing w:line="360" w:lineRule="auto"/>
              <w:rPr>
                <w:rFonts w:ascii="Arial" w:hAnsi="Arial" w:cs="Arial"/>
                <w:sz w:val="19"/>
                <w:szCs w:val="19"/>
              </w:rPr>
            </w:pPr>
            <w:r>
              <w:rPr>
                <w:rFonts w:ascii="Arial" w:hAnsi="Arial" w:cs="Arial"/>
                <w:sz w:val="19"/>
                <w:szCs w:val="19"/>
              </w:rPr>
              <w:t xml:space="preserve">Late signing of </w:t>
            </w:r>
            <w:r w:rsidR="00BC421E">
              <w:rPr>
                <w:rFonts w:ascii="Arial" w:hAnsi="Arial" w:cs="Arial"/>
                <w:sz w:val="19"/>
                <w:szCs w:val="19"/>
              </w:rPr>
              <w:t>DEA contract</w:t>
            </w:r>
          </w:p>
        </w:tc>
        <w:tc>
          <w:tcPr>
            <w:tcW w:w="3402" w:type="dxa"/>
            <w:shd w:val="clear" w:color="auto" w:fill="auto"/>
          </w:tcPr>
          <w:p w:rsidR="00960F11" w:rsidRDefault="00BC421E" w:rsidP="00960F11">
            <w:pPr>
              <w:spacing w:line="360" w:lineRule="auto"/>
              <w:rPr>
                <w:rFonts w:ascii="Arial" w:hAnsi="Arial" w:cs="Arial"/>
                <w:sz w:val="19"/>
                <w:szCs w:val="19"/>
              </w:rPr>
            </w:pPr>
            <w:r>
              <w:rPr>
                <w:rFonts w:ascii="Arial" w:hAnsi="Arial" w:cs="Arial"/>
                <w:sz w:val="19"/>
                <w:szCs w:val="19"/>
              </w:rPr>
              <w:t xml:space="preserve">Recruitment to be </w:t>
            </w:r>
            <w:proofErr w:type="spellStart"/>
            <w:r>
              <w:rPr>
                <w:rFonts w:ascii="Arial" w:hAnsi="Arial" w:cs="Arial"/>
                <w:sz w:val="19"/>
                <w:szCs w:val="19"/>
              </w:rPr>
              <w:t>finalised</w:t>
            </w:r>
            <w:proofErr w:type="spellEnd"/>
            <w:r>
              <w:rPr>
                <w:rFonts w:ascii="Arial" w:hAnsi="Arial" w:cs="Arial"/>
                <w:sz w:val="19"/>
                <w:szCs w:val="19"/>
              </w:rPr>
              <w:t xml:space="preserve"> in Qtr3</w:t>
            </w:r>
          </w:p>
        </w:tc>
        <w:tc>
          <w:tcPr>
            <w:tcW w:w="2409" w:type="dxa"/>
            <w:shd w:val="clear" w:color="auto" w:fill="92D050"/>
          </w:tcPr>
          <w:p w:rsidR="00960F11" w:rsidRPr="005D0FA8" w:rsidRDefault="00BC421E" w:rsidP="00960F11">
            <w:pPr>
              <w:spacing w:line="360" w:lineRule="auto"/>
              <w:rPr>
                <w:rFonts w:ascii="Arial" w:hAnsi="Arial" w:cs="Arial"/>
                <w:sz w:val="19"/>
                <w:szCs w:val="19"/>
              </w:rPr>
            </w:pPr>
            <w:r>
              <w:rPr>
                <w:rFonts w:ascii="Arial" w:hAnsi="Arial" w:cs="Arial"/>
                <w:sz w:val="19"/>
                <w:szCs w:val="19"/>
              </w:rPr>
              <w:t>Will be achieved</w:t>
            </w:r>
          </w:p>
        </w:tc>
      </w:tr>
      <w:tr w:rsidR="00BC421E" w:rsidRPr="005D0FA8" w:rsidTr="00BC421E">
        <w:trPr>
          <w:trHeight w:val="1333"/>
        </w:trPr>
        <w:tc>
          <w:tcPr>
            <w:tcW w:w="1555" w:type="dxa"/>
          </w:tcPr>
          <w:p w:rsidR="00BC421E" w:rsidRDefault="00BC421E" w:rsidP="00960F11">
            <w:pPr>
              <w:spacing w:line="360" w:lineRule="auto"/>
              <w:rPr>
                <w:rFonts w:ascii="Arial" w:hAnsi="Arial" w:cs="Arial"/>
                <w:b/>
                <w:sz w:val="19"/>
                <w:szCs w:val="19"/>
              </w:rPr>
            </w:pPr>
            <w:r>
              <w:rPr>
                <w:rFonts w:ascii="Arial" w:hAnsi="Arial" w:cs="Arial"/>
                <w:b/>
                <w:sz w:val="19"/>
                <w:szCs w:val="19"/>
              </w:rPr>
              <w:t>Skills development</w:t>
            </w:r>
          </w:p>
        </w:tc>
        <w:tc>
          <w:tcPr>
            <w:tcW w:w="2268" w:type="dxa"/>
          </w:tcPr>
          <w:p w:rsidR="00BC421E" w:rsidRDefault="00BC421E" w:rsidP="00960F11">
            <w:pPr>
              <w:spacing w:line="360" w:lineRule="auto"/>
              <w:rPr>
                <w:rFonts w:ascii="Arial" w:hAnsi="Arial" w:cs="Arial"/>
                <w:sz w:val="19"/>
                <w:szCs w:val="19"/>
              </w:rPr>
            </w:pPr>
            <w:r>
              <w:rPr>
                <w:rFonts w:ascii="Arial" w:hAnsi="Arial" w:cs="Arial"/>
                <w:sz w:val="19"/>
                <w:szCs w:val="19"/>
              </w:rPr>
              <w:t>26_4.8</w:t>
            </w:r>
          </w:p>
          <w:p w:rsidR="00BC421E" w:rsidRDefault="00BC421E" w:rsidP="00960F11">
            <w:pPr>
              <w:spacing w:line="360" w:lineRule="auto"/>
              <w:rPr>
                <w:rFonts w:ascii="Arial" w:hAnsi="Arial" w:cs="Arial"/>
                <w:sz w:val="19"/>
                <w:szCs w:val="19"/>
              </w:rPr>
            </w:pPr>
            <w:r>
              <w:rPr>
                <w:rFonts w:ascii="Arial" w:hAnsi="Arial" w:cs="Arial"/>
                <w:sz w:val="19"/>
                <w:szCs w:val="19"/>
              </w:rPr>
              <w:t>8 registered artisans</w:t>
            </w:r>
          </w:p>
        </w:tc>
        <w:tc>
          <w:tcPr>
            <w:tcW w:w="2268" w:type="dxa"/>
          </w:tcPr>
          <w:p w:rsidR="00BC421E" w:rsidRDefault="00BC421E" w:rsidP="00960F11">
            <w:pPr>
              <w:spacing w:line="360" w:lineRule="auto"/>
              <w:rPr>
                <w:rFonts w:ascii="Arial" w:hAnsi="Arial" w:cs="Arial"/>
                <w:sz w:val="19"/>
                <w:szCs w:val="19"/>
              </w:rPr>
            </w:pPr>
            <w:r>
              <w:rPr>
                <w:rFonts w:ascii="Arial" w:hAnsi="Arial" w:cs="Arial"/>
                <w:sz w:val="19"/>
                <w:szCs w:val="19"/>
              </w:rPr>
              <w:t>4 applications received, and all 4 not yet approved</w:t>
            </w:r>
          </w:p>
        </w:tc>
        <w:tc>
          <w:tcPr>
            <w:tcW w:w="3969" w:type="dxa"/>
          </w:tcPr>
          <w:p w:rsidR="00BC421E" w:rsidRDefault="00BC421E" w:rsidP="00BC421E">
            <w:pPr>
              <w:spacing w:line="360" w:lineRule="auto"/>
              <w:rPr>
                <w:rFonts w:ascii="Arial" w:hAnsi="Arial" w:cs="Arial"/>
                <w:sz w:val="19"/>
                <w:szCs w:val="19"/>
              </w:rPr>
            </w:pPr>
            <w:r>
              <w:rPr>
                <w:rFonts w:ascii="Arial" w:hAnsi="Arial" w:cs="Arial"/>
                <w:sz w:val="19"/>
                <w:szCs w:val="19"/>
              </w:rPr>
              <w:t xml:space="preserve">Late submission of application forms by CETA, and requirements for learners with </w:t>
            </w:r>
            <w:proofErr w:type="spellStart"/>
            <w:r>
              <w:rPr>
                <w:rFonts w:ascii="Arial" w:hAnsi="Arial" w:cs="Arial"/>
                <w:sz w:val="19"/>
                <w:szCs w:val="19"/>
              </w:rPr>
              <w:t>learnership</w:t>
            </w:r>
            <w:proofErr w:type="spellEnd"/>
            <w:r>
              <w:rPr>
                <w:rFonts w:ascii="Arial" w:hAnsi="Arial" w:cs="Arial"/>
                <w:sz w:val="19"/>
                <w:szCs w:val="19"/>
              </w:rPr>
              <w:t xml:space="preserve"> and internship experience more extensive</w:t>
            </w:r>
          </w:p>
        </w:tc>
        <w:tc>
          <w:tcPr>
            <w:tcW w:w="3402" w:type="dxa"/>
            <w:shd w:val="clear" w:color="auto" w:fill="auto"/>
          </w:tcPr>
          <w:p w:rsidR="00BC421E" w:rsidRDefault="00BC421E" w:rsidP="00960F11">
            <w:pPr>
              <w:spacing w:line="360" w:lineRule="auto"/>
              <w:rPr>
                <w:rFonts w:ascii="Arial" w:hAnsi="Arial" w:cs="Arial"/>
                <w:sz w:val="19"/>
                <w:szCs w:val="19"/>
              </w:rPr>
            </w:pPr>
            <w:r>
              <w:rPr>
                <w:rFonts w:ascii="Arial" w:hAnsi="Arial" w:cs="Arial"/>
                <w:sz w:val="19"/>
                <w:szCs w:val="19"/>
              </w:rPr>
              <w:t xml:space="preserve">Applicants being assisted with signing of work confirmations, to make required minimum experience required for approval into </w:t>
            </w:r>
            <w:proofErr w:type="spellStart"/>
            <w:r>
              <w:rPr>
                <w:rFonts w:ascii="Arial" w:hAnsi="Arial" w:cs="Arial"/>
                <w:sz w:val="19"/>
                <w:szCs w:val="19"/>
              </w:rPr>
              <w:t>programme</w:t>
            </w:r>
            <w:proofErr w:type="spellEnd"/>
          </w:p>
        </w:tc>
        <w:tc>
          <w:tcPr>
            <w:tcW w:w="2409" w:type="dxa"/>
            <w:shd w:val="clear" w:color="auto" w:fill="FFC000"/>
          </w:tcPr>
          <w:p w:rsidR="00BC421E" w:rsidRDefault="00BC421E" w:rsidP="00960F11">
            <w:pPr>
              <w:spacing w:line="360" w:lineRule="auto"/>
              <w:rPr>
                <w:rFonts w:ascii="Arial" w:hAnsi="Arial" w:cs="Arial"/>
                <w:sz w:val="19"/>
                <w:szCs w:val="19"/>
              </w:rPr>
            </w:pPr>
            <w:r>
              <w:rPr>
                <w:rFonts w:ascii="Arial" w:hAnsi="Arial" w:cs="Arial"/>
                <w:sz w:val="19"/>
                <w:szCs w:val="19"/>
              </w:rPr>
              <w:t>High chance of non-achievement by 30/06/2018</w:t>
            </w:r>
          </w:p>
        </w:tc>
      </w:tr>
    </w:tbl>
    <w:p w:rsidR="004110B0" w:rsidRDefault="004110B0" w:rsidP="00E669B2">
      <w:pPr>
        <w:spacing w:line="360" w:lineRule="auto"/>
        <w:jc w:val="both"/>
        <w:rPr>
          <w:rFonts w:ascii="Arial" w:hAnsi="Arial" w:cs="Arial"/>
          <w:b/>
          <w:u w:val="single"/>
        </w:rPr>
      </w:pPr>
    </w:p>
    <w:p w:rsidR="004110B0" w:rsidRDefault="004110B0" w:rsidP="00E669B2">
      <w:pPr>
        <w:spacing w:line="360" w:lineRule="auto"/>
        <w:jc w:val="both"/>
        <w:rPr>
          <w:rFonts w:ascii="Arial" w:hAnsi="Arial" w:cs="Arial"/>
          <w:b/>
          <w:u w:val="single"/>
        </w:rPr>
      </w:pPr>
    </w:p>
    <w:p w:rsidR="004110B0" w:rsidRDefault="004110B0" w:rsidP="00E669B2">
      <w:pPr>
        <w:spacing w:line="360" w:lineRule="auto"/>
        <w:jc w:val="both"/>
        <w:rPr>
          <w:rFonts w:ascii="Arial" w:hAnsi="Arial" w:cs="Arial"/>
          <w:b/>
          <w:u w:val="single"/>
        </w:rPr>
      </w:pPr>
    </w:p>
    <w:p w:rsidR="004110B0" w:rsidRDefault="004110B0" w:rsidP="00E669B2">
      <w:pPr>
        <w:spacing w:line="360" w:lineRule="auto"/>
        <w:jc w:val="both"/>
        <w:rPr>
          <w:rFonts w:ascii="Arial" w:hAnsi="Arial" w:cs="Arial"/>
          <w:b/>
          <w:u w:val="single"/>
        </w:rPr>
      </w:pPr>
    </w:p>
    <w:p w:rsidR="004110B0" w:rsidRDefault="004110B0" w:rsidP="00E669B2">
      <w:pPr>
        <w:spacing w:line="360" w:lineRule="auto"/>
        <w:jc w:val="both"/>
        <w:rPr>
          <w:rFonts w:ascii="Arial" w:hAnsi="Arial" w:cs="Arial"/>
          <w:b/>
          <w:u w:val="single"/>
        </w:rPr>
      </w:pPr>
    </w:p>
    <w:p w:rsidR="00E669B2" w:rsidRPr="009F118B" w:rsidRDefault="00BC421E" w:rsidP="00E669B2">
      <w:pPr>
        <w:spacing w:line="360" w:lineRule="auto"/>
        <w:jc w:val="both"/>
        <w:rPr>
          <w:rFonts w:ascii="Arial" w:hAnsi="Arial" w:cs="Arial"/>
          <w:b/>
          <w:u w:val="single"/>
        </w:rPr>
      </w:pPr>
      <w:r>
        <w:rPr>
          <w:rFonts w:ascii="Arial" w:hAnsi="Arial" w:cs="Arial"/>
          <w:b/>
          <w:u w:val="single"/>
        </w:rPr>
        <w:lastRenderedPageBreak/>
        <w:t xml:space="preserve">Quarter2_2017-18: </w:t>
      </w:r>
      <w:r w:rsidR="00E669B2" w:rsidRPr="00584E93">
        <w:rPr>
          <w:rFonts w:ascii="Arial" w:hAnsi="Arial" w:cs="Arial"/>
          <w:b/>
          <w:u w:val="single"/>
        </w:rPr>
        <w:t xml:space="preserve">Summary </w:t>
      </w:r>
      <w:r w:rsidR="00687562">
        <w:rPr>
          <w:rFonts w:ascii="Arial" w:hAnsi="Arial" w:cs="Arial"/>
          <w:b/>
          <w:u w:val="single"/>
        </w:rPr>
        <w:t>on Areas of Good Performance:</w:t>
      </w:r>
    </w:p>
    <w:p w:rsidR="007717DB" w:rsidRDefault="00E669B2" w:rsidP="007717DB">
      <w:pPr>
        <w:spacing w:line="360" w:lineRule="auto"/>
        <w:jc w:val="both"/>
        <w:rPr>
          <w:rFonts w:ascii="Arial" w:hAnsi="Arial" w:cs="Arial"/>
          <w:sz w:val="20"/>
          <w:szCs w:val="20"/>
        </w:rPr>
      </w:pPr>
      <w:r>
        <w:rPr>
          <w:rFonts w:ascii="Arial" w:hAnsi="Arial" w:cs="Arial"/>
          <w:sz w:val="20"/>
          <w:szCs w:val="20"/>
        </w:rPr>
        <w:t>The key area(s) of performance leading to the results in the summary table above have been tabled below for easy reference</w:t>
      </w:r>
      <w:r w:rsidR="007717DB">
        <w:rPr>
          <w:rFonts w:ascii="Arial" w:hAnsi="Arial" w:cs="Arial"/>
          <w:sz w:val="20"/>
          <w:szCs w:val="20"/>
        </w:rPr>
        <w:t>:</w:t>
      </w:r>
    </w:p>
    <w:p w:rsidR="00687562" w:rsidRDefault="00687562" w:rsidP="00687562">
      <w:pPr>
        <w:spacing w:line="360" w:lineRule="auto"/>
        <w:jc w:val="both"/>
        <w:rPr>
          <w:rFonts w:ascii="Arial" w:hAnsi="Arial" w:cs="Arial"/>
          <w:sz w:val="20"/>
          <w:szCs w:val="20"/>
        </w:rPr>
      </w:pPr>
      <w:r w:rsidRPr="00687562">
        <w:drawing>
          <wp:inline distT="0" distB="0" distL="0" distR="0" wp14:anchorId="0B84984B" wp14:editId="78D32AF7">
            <wp:extent cx="9881870" cy="424957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1870" cy="4249573"/>
                    </a:xfrm>
                    <a:prstGeom prst="rect">
                      <a:avLst/>
                    </a:prstGeom>
                    <a:noFill/>
                    <a:ln>
                      <a:noFill/>
                    </a:ln>
                  </pic:spPr>
                </pic:pic>
              </a:graphicData>
            </a:graphic>
          </wp:inline>
        </w:drawing>
      </w:r>
    </w:p>
    <w:p w:rsidR="00687562" w:rsidRDefault="00687562" w:rsidP="00687562">
      <w:pPr>
        <w:ind w:firstLine="720"/>
        <w:rPr>
          <w:rFonts w:ascii="Arial" w:hAnsi="Arial" w:cs="Arial"/>
          <w:sz w:val="20"/>
          <w:szCs w:val="20"/>
        </w:rPr>
      </w:pPr>
    </w:p>
    <w:p w:rsidR="00687562" w:rsidRDefault="00687562" w:rsidP="00687562">
      <w:pPr>
        <w:ind w:firstLine="142"/>
        <w:rPr>
          <w:rFonts w:ascii="Arial" w:hAnsi="Arial" w:cs="Arial"/>
          <w:sz w:val="20"/>
          <w:szCs w:val="20"/>
        </w:rPr>
      </w:pPr>
      <w:r>
        <w:rPr>
          <w:rFonts w:ascii="Arial" w:hAnsi="Arial" w:cs="Arial"/>
          <w:sz w:val="20"/>
          <w:szCs w:val="20"/>
        </w:rPr>
        <w:t>Details on areas of solid performance are in the details performance report annexed to this summary report.</w:t>
      </w:r>
    </w:p>
    <w:p w:rsidR="00B906B0" w:rsidRDefault="00687562" w:rsidP="00687562">
      <w:pPr>
        <w:tabs>
          <w:tab w:val="left" w:pos="765"/>
        </w:tabs>
        <w:rPr>
          <w:rFonts w:ascii="Arial" w:hAnsi="Arial" w:cs="Arial"/>
          <w:sz w:val="20"/>
          <w:szCs w:val="20"/>
        </w:rPr>
        <w:sectPr w:rsidR="00B906B0" w:rsidSect="007151B4">
          <w:pgSz w:w="16838" w:h="11906" w:orient="landscape"/>
          <w:pgMar w:top="851" w:right="851" w:bottom="992" w:left="425" w:header="708" w:footer="708" w:gutter="0"/>
          <w:cols w:space="708"/>
          <w:docGrid w:linePitch="360"/>
        </w:sectPr>
      </w:pPr>
      <w:r>
        <w:rPr>
          <w:rFonts w:ascii="Arial" w:hAnsi="Arial" w:cs="Arial"/>
          <w:sz w:val="20"/>
          <w:szCs w:val="20"/>
        </w:rPr>
        <w:tab/>
      </w:r>
    </w:p>
    <w:p w:rsidR="00B906B0" w:rsidRPr="009F118B" w:rsidRDefault="00B906B0" w:rsidP="00B906B0">
      <w:pPr>
        <w:spacing w:line="360" w:lineRule="auto"/>
        <w:jc w:val="both"/>
        <w:rPr>
          <w:rFonts w:ascii="Arial" w:hAnsi="Arial" w:cs="Arial"/>
          <w:b/>
          <w:u w:val="single"/>
        </w:rPr>
      </w:pPr>
      <w:r>
        <w:rPr>
          <w:rFonts w:ascii="Arial" w:hAnsi="Arial" w:cs="Arial"/>
          <w:b/>
          <w:u w:val="single"/>
        </w:rPr>
        <w:lastRenderedPageBreak/>
        <w:t>Concluding Remarks</w:t>
      </w:r>
    </w:p>
    <w:p w:rsidR="00B906B0" w:rsidRDefault="00B906B0" w:rsidP="00B906B0">
      <w:pPr>
        <w:spacing w:line="360" w:lineRule="auto"/>
        <w:jc w:val="both"/>
        <w:rPr>
          <w:rFonts w:ascii="Arial" w:hAnsi="Arial" w:cs="Arial"/>
          <w:sz w:val="20"/>
          <w:szCs w:val="20"/>
        </w:rPr>
      </w:pPr>
      <w:r>
        <w:rPr>
          <w:rFonts w:ascii="Arial" w:hAnsi="Arial" w:cs="Arial"/>
          <w:sz w:val="20"/>
          <w:szCs w:val="20"/>
        </w:rPr>
        <w:t xml:space="preserve">The agency is committed to realizing its performance objectives for 2017/18 per approved plan.  </w:t>
      </w:r>
    </w:p>
    <w:p w:rsidR="00B906B0" w:rsidRDefault="00B906B0" w:rsidP="00B906B0">
      <w:pPr>
        <w:spacing w:line="360" w:lineRule="auto"/>
        <w:jc w:val="both"/>
        <w:rPr>
          <w:rFonts w:ascii="Arial" w:hAnsi="Arial" w:cs="Arial"/>
          <w:sz w:val="20"/>
          <w:szCs w:val="20"/>
        </w:rPr>
      </w:pPr>
      <w:r>
        <w:rPr>
          <w:rFonts w:ascii="Arial" w:hAnsi="Arial" w:cs="Arial"/>
          <w:sz w:val="20"/>
          <w:szCs w:val="20"/>
        </w:rPr>
        <w:t>However, key issues that may affect the realization of targets is:</w:t>
      </w:r>
    </w:p>
    <w:p w:rsidR="00B906B0" w:rsidRDefault="00B906B0" w:rsidP="00B906B0">
      <w:pPr>
        <w:pStyle w:val="ListParagraph"/>
        <w:numPr>
          <w:ilvl w:val="0"/>
          <w:numId w:val="18"/>
        </w:numPr>
        <w:spacing w:line="360" w:lineRule="auto"/>
        <w:jc w:val="both"/>
        <w:rPr>
          <w:rFonts w:ascii="Arial" w:hAnsi="Arial" w:cs="Arial"/>
          <w:sz w:val="20"/>
          <w:szCs w:val="20"/>
        </w:rPr>
      </w:pPr>
      <w:r>
        <w:rPr>
          <w:rFonts w:ascii="Arial" w:hAnsi="Arial" w:cs="Arial"/>
          <w:sz w:val="20"/>
          <w:szCs w:val="20"/>
        </w:rPr>
        <w:t xml:space="preserve">Non receipt or late receipt of funding for </w:t>
      </w:r>
      <w:proofErr w:type="spellStart"/>
      <w:r>
        <w:rPr>
          <w:rFonts w:ascii="Arial" w:hAnsi="Arial" w:cs="Arial"/>
          <w:sz w:val="20"/>
          <w:szCs w:val="20"/>
        </w:rPr>
        <w:t>programme</w:t>
      </w:r>
      <w:proofErr w:type="spellEnd"/>
      <w:r>
        <w:rPr>
          <w:rFonts w:ascii="Arial" w:hAnsi="Arial" w:cs="Arial"/>
          <w:sz w:val="20"/>
          <w:szCs w:val="20"/>
        </w:rPr>
        <w:t xml:space="preserve"> implementation</w:t>
      </w:r>
    </w:p>
    <w:p w:rsidR="00B906B0" w:rsidRDefault="00B906B0" w:rsidP="00B906B0">
      <w:pPr>
        <w:pStyle w:val="ListParagraph"/>
        <w:spacing w:line="360" w:lineRule="auto"/>
        <w:jc w:val="both"/>
        <w:rPr>
          <w:rFonts w:ascii="Arial" w:hAnsi="Arial" w:cs="Arial"/>
          <w:sz w:val="20"/>
          <w:szCs w:val="20"/>
        </w:rPr>
      </w:pPr>
    </w:p>
    <w:p w:rsidR="00B906B0" w:rsidRPr="00F219C9" w:rsidRDefault="00B906B0" w:rsidP="00B906B0">
      <w:pPr>
        <w:pStyle w:val="ListParagraph"/>
        <w:numPr>
          <w:ilvl w:val="0"/>
          <w:numId w:val="18"/>
        </w:numPr>
        <w:spacing w:line="360" w:lineRule="auto"/>
        <w:jc w:val="both"/>
        <w:rPr>
          <w:rFonts w:ascii="Arial" w:hAnsi="Arial" w:cs="Arial"/>
          <w:sz w:val="20"/>
          <w:szCs w:val="20"/>
        </w:rPr>
      </w:pPr>
      <w:r>
        <w:rPr>
          <w:rFonts w:ascii="Arial" w:hAnsi="Arial" w:cs="Arial"/>
          <w:sz w:val="20"/>
          <w:szCs w:val="20"/>
        </w:rPr>
        <w:t xml:space="preserve">Reliance on third parties for </w:t>
      </w:r>
      <w:proofErr w:type="spellStart"/>
      <w:r>
        <w:rPr>
          <w:rFonts w:ascii="Arial" w:hAnsi="Arial" w:cs="Arial"/>
          <w:sz w:val="20"/>
          <w:szCs w:val="20"/>
        </w:rPr>
        <w:t>realisation</w:t>
      </w:r>
      <w:proofErr w:type="spellEnd"/>
      <w:r>
        <w:rPr>
          <w:rFonts w:ascii="Arial" w:hAnsi="Arial" w:cs="Arial"/>
          <w:sz w:val="20"/>
          <w:szCs w:val="20"/>
        </w:rPr>
        <w:t xml:space="preserve"> or operational targets due to limited own resources (mainly financial)</w:t>
      </w:r>
    </w:p>
    <w:p w:rsidR="00B906B0" w:rsidRDefault="00B906B0" w:rsidP="00B906B0">
      <w:pPr>
        <w:spacing w:line="360" w:lineRule="auto"/>
        <w:jc w:val="both"/>
        <w:rPr>
          <w:rFonts w:ascii="Arial" w:hAnsi="Arial" w:cs="Arial"/>
          <w:sz w:val="20"/>
          <w:szCs w:val="20"/>
        </w:rPr>
      </w:pPr>
      <w:r>
        <w:rPr>
          <w:rFonts w:ascii="Arial" w:hAnsi="Arial" w:cs="Arial"/>
          <w:sz w:val="20"/>
          <w:szCs w:val="20"/>
        </w:rPr>
        <w:t xml:space="preserve">This means that management should take an approach in terms of monitoring the submission of drawdowns and receipt of funds from funders, to ensure programming is not delayed.  Also, better methods of monitoring </w:t>
      </w:r>
      <w:proofErr w:type="spellStart"/>
      <w:r>
        <w:rPr>
          <w:rFonts w:ascii="Arial" w:hAnsi="Arial" w:cs="Arial"/>
          <w:sz w:val="20"/>
          <w:szCs w:val="20"/>
        </w:rPr>
        <w:t>programme</w:t>
      </w:r>
      <w:proofErr w:type="spellEnd"/>
      <w:r>
        <w:rPr>
          <w:rFonts w:ascii="Arial" w:hAnsi="Arial" w:cs="Arial"/>
          <w:sz w:val="20"/>
          <w:szCs w:val="20"/>
        </w:rPr>
        <w:t xml:space="preserve"> progress is required, on a monthly basis, to ensure the quarterly deliverables are adequately managed and issues resolved timeously.</w:t>
      </w:r>
    </w:p>
    <w:p w:rsidR="00B906B0" w:rsidRPr="00F70844" w:rsidRDefault="00B906B0" w:rsidP="00B906B0">
      <w:pPr>
        <w:shd w:val="clear" w:color="auto" w:fill="A8D08D" w:themeFill="accent6" w:themeFillTint="99"/>
        <w:spacing w:line="360" w:lineRule="auto"/>
        <w:jc w:val="both"/>
        <w:rPr>
          <w:rFonts w:ascii="Arial" w:hAnsi="Arial" w:cs="Arial"/>
          <w:b/>
        </w:rPr>
        <w:sectPr w:rsidR="00B906B0" w:rsidRPr="00F70844" w:rsidSect="00B906B0">
          <w:pgSz w:w="11906" w:h="16838"/>
          <w:pgMar w:top="851" w:right="992" w:bottom="425" w:left="851" w:header="708" w:footer="708" w:gutter="0"/>
          <w:cols w:space="708"/>
          <w:docGrid w:linePitch="360"/>
        </w:sectPr>
      </w:pPr>
      <w:r w:rsidRPr="00F70844">
        <w:rPr>
          <w:rFonts w:ascii="Arial" w:hAnsi="Arial" w:cs="Arial"/>
          <w:b/>
        </w:rPr>
        <w:t xml:space="preserve">A detailed performance report for the </w:t>
      </w:r>
      <w:r>
        <w:rPr>
          <w:rFonts w:ascii="Arial" w:hAnsi="Arial" w:cs="Arial"/>
          <w:b/>
        </w:rPr>
        <w:t>Quarter2 and midyear</w:t>
      </w:r>
      <w:r w:rsidRPr="00F70844">
        <w:rPr>
          <w:rFonts w:ascii="Arial" w:hAnsi="Arial" w:cs="Arial"/>
          <w:b/>
        </w:rPr>
        <w:t xml:space="preserve"> is </w:t>
      </w:r>
      <w:r>
        <w:rPr>
          <w:rFonts w:ascii="Arial" w:hAnsi="Arial" w:cs="Arial"/>
          <w:b/>
        </w:rPr>
        <w:t>annexed to this document for detailed reference on items covered in this report</w:t>
      </w:r>
    </w:p>
    <w:bookmarkEnd w:id="1"/>
    <w:p w:rsidR="00EE106B" w:rsidRDefault="00EE106B" w:rsidP="00B906B0">
      <w:pPr>
        <w:tabs>
          <w:tab w:val="left" w:pos="765"/>
        </w:tabs>
        <w:rPr>
          <w:rFonts w:ascii="Arial" w:hAnsi="Arial" w:cs="Arial"/>
          <w:szCs w:val="24"/>
          <w:u w:val="single"/>
        </w:rPr>
      </w:pPr>
    </w:p>
    <w:sectPr w:rsidR="00EE106B" w:rsidSect="00B906B0">
      <w:footerReference w:type="default" r:id="rId16"/>
      <w:pgSz w:w="11906" w:h="16838"/>
      <w:pgMar w:top="851" w:right="992" w:bottom="42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22" w:rsidRDefault="00ED5B22" w:rsidP="00807FBB">
      <w:pPr>
        <w:spacing w:after="0" w:line="240" w:lineRule="auto"/>
      </w:pPr>
      <w:r>
        <w:separator/>
      </w:r>
    </w:p>
  </w:endnote>
  <w:endnote w:type="continuationSeparator" w:id="0">
    <w:p w:rsidR="00ED5B22" w:rsidRDefault="00ED5B22" w:rsidP="0080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073"/>
      <w:docPartObj>
        <w:docPartGallery w:val="Page Numbers (Bottom of Page)"/>
        <w:docPartUnique/>
      </w:docPartObj>
    </w:sdtPr>
    <w:sdtEndPr>
      <w:rPr>
        <w:rFonts w:ascii="Arial" w:hAnsi="Arial" w:cs="Arial"/>
        <w:b/>
        <w:noProof/>
        <w:sz w:val="18"/>
        <w:szCs w:val="18"/>
      </w:rPr>
    </w:sdtEndPr>
    <w:sdtContent>
      <w:p w:rsidR="00960F11" w:rsidRPr="00807FBB" w:rsidRDefault="00960F11" w:rsidP="00807FBB">
        <w:pPr>
          <w:pStyle w:val="Footer"/>
          <w:jc w:val="right"/>
          <w:rPr>
            <w:rFonts w:ascii="Arial" w:hAnsi="Arial" w:cs="Arial"/>
            <w:sz w:val="18"/>
            <w:szCs w:val="18"/>
          </w:rPr>
        </w:pPr>
        <w:r w:rsidRPr="00807FBB">
          <w:rPr>
            <w:rFonts w:ascii="Arial" w:hAnsi="Arial" w:cs="Arial"/>
            <w:sz w:val="18"/>
            <w:szCs w:val="18"/>
          </w:rPr>
          <w:fldChar w:fldCharType="begin"/>
        </w:r>
        <w:r w:rsidRPr="00807FBB">
          <w:rPr>
            <w:rFonts w:ascii="Arial" w:hAnsi="Arial" w:cs="Arial"/>
            <w:sz w:val="18"/>
            <w:szCs w:val="18"/>
          </w:rPr>
          <w:instrText xml:space="preserve"> PAGE   \* MERGEFORMAT </w:instrText>
        </w:r>
        <w:r w:rsidRPr="00807FBB">
          <w:rPr>
            <w:rFonts w:ascii="Arial" w:hAnsi="Arial" w:cs="Arial"/>
            <w:sz w:val="18"/>
            <w:szCs w:val="18"/>
          </w:rPr>
          <w:fldChar w:fldCharType="separate"/>
        </w:r>
        <w:r w:rsidR="00D71151">
          <w:rPr>
            <w:rFonts w:ascii="Arial" w:hAnsi="Arial" w:cs="Arial"/>
            <w:noProof/>
            <w:sz w:val="18"/>
            <w:szCs w:val="18"/>
          </w:rPr>
          <w:t>12</w:t>
        </w:r>
        <w:r w:rsidRPr="00807FBB">
          <w:rPr>
            <w:rFonts w:ascii="Arial" w:hAnsi="Arial" w:cs="Arial"/>
            <w:noProof/>
            <w:sz w:val="18"/>
            <w:szCs w:val="18"/>
          </w:rPr>
          <w:fldChar w:fldCharType="end"/>
        </w:r>
      </w:p>
      <w:p w:rsidR="00960F11" w:rsidRPr="00807FBB" w:rsidRDefault="00960F11" w:rsidP="00807FBB">
        <w:pPr>
          <w:pStyle w:val="Footer"/>
          <w:pBdr>
            <w:top w:val="single" w:sz="4" w:space="1" w:color="auto"/>
          </w:pBdr>
          <w:rPr>
            <w:rFonts w:ascii="Arial" w:hAnsi="Arial" w:cs="Arial"/>
            <w:b/>
            <w:sz w:val="18"/>
            <w:szCs w:val="18"/>
          </w:rPr>
        </w:pPr>
        <w:r>
          <w:rPr>
            <w:rFonts w:ascii="Arial" w:hAnsi="Arial" w:cs="Arial"/>
            <w:b/>
            <w:sz w:val="18"/>
            <w:szCs w:val="18"/>
          </w:rPr>
          <w:t xml:space="preserve">Quarter 2 and </w:t>
        </w:r>
        <w:proofErr w:type="spellStart"/>
        <w:r>
          <w:rPr>
            <w:rFonts w:ascii="Arial" w:hAnsi="Arial" w:cs="Arial"/>
            <w:b/>
            <w:sz w:val="18"/>
            <w:szCs w:val="18"/>
          </w:rPr>
          <w:t>MidYear</w:t>
        </w:r>
        <w:proofErr w:type="spellEnd"/>
        <w:r>
          <w:rPr>
            <w:rFonts w:ascii="Arial" w:hAnsi="Arial" w:cs="Arial"/>
            <w:b/>
            <w:sz w:val="18"/>
            <w:szCs w:val="18"/>
          </w:rPr>
          <w:t xml:space="preserve"> Performance</w:t>
        </w:r>
        <w:r w:rsidRPr="00807FBB">
          <w:rPr>
            <w:rFonts w:ascii="Arial" w:hAnsi="Arial" w:cs="Arial"/>
            <w:b/>
            <w:sz w:val="18"/>
            <w:szCs w:val="18"/>
          </w:rPr>
          <w:t xml:space="preserve"> </w:t>
        </w:r>
        <w:r>
          <w:rPr>
            <w:rFonts w:ascii="Arial" w:hAnsi="Arial" w:cs="Arial"/>
            <w:b/>
            <w:sz w:val="18"/>
            <w:szCs w:val="18"/>
          </w:rPr>
          <w:t>Report</w:t>
        </w:r>
      </w:p>
      <w:p w:rsidR="00960F11" w:rsidRPr="00807FBB" w:rsidRDefault="00960F11" w:rsidP="00807FBB">
        <w:pPr>
          <w:pStyle w:val="Footer"/>
          <w:pBdr>
            <w:top w:val="single" w:sz="4" w:space="1" w:color="auto"/>
          </w:pBdr>
          <w:rPr>
            <w:rFonts w:ascii="Arial" w:hAnsi="Arial" w:cs="Arial"/>
            <w:b/>
            <w:sz w:val="18"/>
            <w:szCs w:val="18"/>
          </w:rPr>
        </w:pPr>
        <w:r w:rsidRPr="00807FBB">
          <w:rPr>
            <w:rFonts w:ascii="Arial" w:hAnsi="Arial" w:cs="Arial"/>
            <w:b/>
            <w:sz w:val="18"/>
            <w:szCs w:val="18"/>
          </w:rPr>
          <w:t xml:space="preserve">CHDA </w:t>
        </w:r>
        <w:r>
          <w:rPr>
            <w:rFonts w:ascii="Arial" w:hAnsi="Arial" w:cs="Arial"/>
            <w:b/>
            <w:sz w:val="18"/>
            <w:szCs w:val="18"/>
          </w:rPr>
          <w:t>2017-2018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03955"/>
      <w:docPartObj>
        <w:docPartGallery w:val="Page Numbers (Bottom of Page)"/>
        <w:docPartUnique/>
      </w:docPartObj>
    </w:sdtPr>
    <w:sdtEndPr>
      <w:rPr>
        <w:rFonts w:ascii="Arial" w:hAnsi="Arial" w:cs="Arial"/>
        <w:b/>
        <w:noProof/>
        <w:sz w:val="18"/>
        <w:szCs w:val="18"/>
      </w:rPr>
    </w:sdtEndPr>
    <w:sdtContent>
      <w:p w:rsidR="00960F11" w:rsidRPr="00807FBB" w:rsidRDefault="00960F11" w:rsidP="00807FBB">
        <w:pPr>
          <w:pStyle w:val="Footer"/>
          <w:jc w:val="right"/>
          <w:rPr>
            <w:rFonts w:ascii="Arial" w:hAnsi="Arial" w:cs="Arial"/>
            <w:sz w:val="18"/>
            <w:szCs w:val="18"/>
          </w:rPr>
        </w:pPr>
        <w:r w:rsidRPr="00807FBB">
          <w:rPr>
            <w:rFonts w:ascii="Arial" w:hAnsi="Arial" w:cs="Arial"/>
            <w:sz w:val="18"/>
            <w:szCs w:val="18"/>
          </w:rPr>
          <w:fldChar w:fldCharType="begin"/>
        </w:r>
        <w:r w:rsidRPr="00807FBB">
          <w:rPr>
            <w:rFonts w:ascii="Arial" w:hAnsi="Arial" w:cs="Arial"/>
            <w:sz w:val="18"/>
            <w:szCs w:val="18"/>
          </w:rPr>
          <w:instrText xml:space="preserve"> PAGE   \* MERGEFORMAT </w:instrText>
        </w:r>
        <w:r w:rsidRPr="00807FBB">
          <w:rPr>
            <w:rFonts w:ascii="Arial" w:hAnsi="Arial" w:cs="Arial"/>
            <w:sz w:val="18"/>
            <w:szCs w:val="18"/>
          </w:rPr>
          <w:fldChar w:fldCharType="separate"/>
        </w:r>
        <w:r w:rsidR="00D71151">
          <w:rPr>
            <w:rFonts w:ascii="Arial" w:hAnsi="Arial" w:cs="Arial"/>
            <w:noProof/>
            <w:sz w:val="18"/>
            <w:szCs w:val="18"/>
          </w:rPr>
          <w:t>13</w:t>
        </w:r>
        <w:r w:rsidRPr="00807FBB">
          <w:rPr>
            <w:rFonts w:ascii="Arial" w:hAnsi="Arial" w:cs="Arial"/>
            <w:noProof/>
            <w:sz w:val="18"/>
            <w:szCs w:val="18"/>
          </w:rPr>
          <w:fldChar w:fldCharType="end"/>
        </w:r>
      </w:p>
      <w:p w:rsidR="00960F11" w:rsidRPr="00807FBB" w:rsidRDefault="00960F11" w:rsidP="00807FBB">
        <w:pPr>
          <w:pStyle w:val="Footer"/>
          <w:pBdr>
            <w:top w:val="single" w:sz="4" w:space="1" w:color="auto"/>
          </w:pBdr>
          <w:rPr>
            <w:rFonts w:ascii="Arial" w:hAnsi="Arial" w:cs="Arial"/>
            <w:b/>
            <w:sz w:val="18"/>
            <w:szCs w:val="18"/>
          </w:rPr>
        </w:pPr>
        <w:r>
          <w:rPr>
            <w:rFonts w:ascii="Arial" w:hAnsi="Arial" w:cs="Arial"/>
            <w:b/>
            <w:sz w:val="18"/>
            <w:szCs w:val="18"/>
          </w:rPr>
          <w:t xml:space="preserve">Quarter2 / </w:t>
        </w:r>
        <w:proofErr w:type="spellStart"/>
        <w:r>
          <w:rPr>
            <w:rFonts w:ascii="Arial" w:hAnsi="Arial" w:cs="Arial"/>
            <w:b/>
            <w:sz w:val="18"/>
            <w:szCs w:val="18"/>
          </w:rPr>
          <w:t>MidYear</w:t>
        </w:r>
        <w:proofErr w:type="spellEnd"/>
        <w:r>
          <w:rPr>
            <w:rFonts w:ascii="Arial" w:hAnsi="Arial" w:cs="Arial"/>
            <w:b/>
            <w:sz w:val="18"/>
            <w:szCs w:val="18"/>
          </w:rPr>
          <w:t xml:space="preserve"> Performance</w:t>
        </w:r>
        <w:r w:rsidRPr="00807FBB">
          <w:rPr>
            <w:rFonts w:ascii="Arial" w:hAnsi="Arial" w:cs="Arial"/>
            <w:b/>
            <w:sz w:val="18"/>
            <w:szCs w:val="18"/>
          </w:rPr>
          <w:t xml:space="preserve"> </w:t>
        </w:r>
        <w:r>
          <w:rPr>
            <w:rFonts w:ascii="Arial" w:hAnsi="Arial" w:cs="Arial"/>
            <w:b/>
            <w:sz w:val="18"/>
            <w:szCs w:val="18"/>
          </w:rPr>
          <w:t>Report</w:t>
        </w:r>
      </w:p>
      <w:p w:rsidR="00960F11" w:rsidRPr="00807FBB" w:rsidRDefault="00960F11" w:rsidP="00807FBB">
        <w:pPr>
          <w:pStyle w:val="Footer"/>
          <w:pBdr>
            <w:top w:val="single" w:sz="4" w:space="1" w:color="auto"/>
          </w:pBdr>
          <w:rPr>
            <w:rFonts w:ascii="Arial" w:hAnsi="Arial" w:cs="Arial"/>
            <w:b/>
            <w:sz w:val="18"/>
            <w:szCs w:val="18"/>
          </w:rPr>
        </w:pPr>
        <w:r w:rsidRPr="00807FBB">
          <w:rPr>
            <w:rFonts w:ascii="Arial" w:hAnsi="Arial" w:cs="Arial"/>
            <w:b/>
            <w:sz w:val="18"/>
            <w:szCs w:val="18"/>
          </w:rPr>
          <w:t xml:space="preserve">CHDA </w:t>
        </w:r>
        <w:r>
          <w:rPr>
            <w:rFonts w:ascii="Arial" w:hAnsi="Arial" w:cs="Arial"/>
            <w:b/>
            <w:sz w:val="18"/>
            <w:szCs w:val="18"/>
          </w:rPr>
          <w:t>2016-2017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22" w:rsidRDefault="00ED5B22" w:rsidP="00807FBB">
      <w:pPr>
        <w:spacing w:after="0" w:line="240" w:lineRule="auto"/>
      </w:pPr>
      <w:r>
        <w:separator/>
      </w:r>
    </w:p>
  </w:footnote>
  <w:footnote w:type="continuationSeparator" w:id="0">
    <w:p w:rsidR="00ED5B22" w:rsidRDefault="00ED5B22" w:rsidP="0080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243"/>
    <w:multiLevelType w:val="hybridMultilevel"/>
    <w:tmpl w:val="175EE3FE"/>
    <w:lvl w:ilvl="0" w:tplc="994A5A0C">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2B24B1"/>
    <w:multiLevelType w:val="hybridMultilevel"/>
    <w:tmpl w:val="2E467E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F61350"/>
    <w:multiLevelType w:val="hybridMultilevel"/>
    <w:tmpl w:val="F0466CF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80AA5"/>
    <w:multiLevelType w:val="hybridMultilevel"/>
    <w:tmpl w:val="7E46B1C4"/>
    <w:lvl w:ilvl="0" w:tplc="994A5A0C">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F94085"/>
    <w:multiLevelType w:val="hybridMultilevel"/>
    <w:tmpl w:val="C642587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D26F32"/>
    <w:multiLevelType w:val="hybridMultilevel"/>
    <w:tmpl w:val="CE4A9B3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C513AB"/>
    <w:multiLevelType w:val="hybridMultilevel"/>
    <w:tmpl w:val="84BEE09E"/>
    <w:lvl w:ilvl="0" w:tplc="8D42AB42">
      <w:start w:val="31"/>
      <w:numFmt w:val="bullet"/>
      <w:lvlText w:val="-"/>
      <w:lvlJc w:val="left"/>
      <w:pPr>
        <w:ind w:left="3240" w:hanging="360"/>
      </w:pPr>
      <w:rPr>
        <w:rFonts w:ascii="Arial" w:eastAsiaTheme="minorHAnsi"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7">
    <w:nsid w:val="24F20E36"/>
    <w:multiLevelType w:val="hybridMultilevel"/>
    <w:tmpl w:val="79A6330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6A030D"/>
    <w:multiLevelType w:val="hybridMultilevel"/>
    <w:tmpl w:val="741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E587C"/>
    <w:multiLevelType w:val="hybridMultilevel"/>
    <w:tmpl w:val="21D698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C4005F"/>
    <w:multiLevelType w:val="hybridMultilevel"/>
    <w:tmpl w:val="2A08D0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0E3EB9"/>
    <w:multiLevelType w:val="hybridMultilevel"/>
    <w:tmpl w:val="DE029EF8"/>
    <w:lvl w:ilvl="0" w:tplc="8D42AB42">
      <w:start w:val="3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710023"/>
    <w:multiLevelType w:val="hybridMultilevel"/>
    <w:tmpl w:val="117ACBD2"/>
    <w:lvl w:ilvl="0" w:tplc="1C090011">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nsid w:val="3F737283"/>
    <w:multiLevelType w:val="hybridMultilevel"/>
    <w:tmpl w:val="B55612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B013574"/>
    <w:multiLevelType w:val="hybridMultilevel"/>
    <w:tmpl w:val="C2EA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5362F0"/>
    <w:multiLevelType w:val="hybridMultilevel"/>
    <w:tmpl w:val="D51E8E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3552D0A"/>
    <w:multiLevelType w:val="hybridMultilevel"/>
    <w:tmpl w:val="4C607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9942B5"/>
    <w:multiLevelType w:val="hybridMultilevel"/>
    <w:tmpl w:val="CB54FE70"/>
    <w:lvl w:ilvl="0" w:tplc="1C090005">
      <w:start w:val="1"/>
      <w:numFmt w:val="bullet"/>
      <w:lvlText w:val=""/>
      <w:lvlJc w:val="left"/>
      <w:pPr>
        <w:ind w:left="3240" w:hanging="360"/>
      </w:pPr>
      <w:rPr>
        <w:rFonts w:ascii="Wingdings" w:hAnsi="Wingdings"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8">
    <w:nsid w:val="616E1234"/>
    <w:multiLevelType w:val="multilevel"/>
    <w:tmpl w:val="0A3E6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000A1F"/>
    <w:multiLevelType w:val="hybridMultilevel"/>
    <w:tmpl w:val="0FF0B3F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5"/>
  </w:num>
  <w:num w:numId="5">
    <w:abstractNumId w:val="7"/>
  </w:num>
  <w:num w:numId="6">
    <w:abstractNumId w:val="6"/>
  </w:num>
  <w:num w:numId="7">
    <w:abstractNumId w:val="17"/>
  </w:num>
  <w:num w:numId="8">
    <w:abstractNumId w:val="13"/>
  </w:num>
  <w:num w:numId="9">
    <w:abstractNumId w:val="1"/>
  </w:num>
  <w:num w:numId="10">
    <w:abstractNumId w:val="11"/>
  </w:num>
  <w:num w:numId="11">
    <w:abstractNumId w:val="9"/>
  </w:num>
  <w:num w:numId="12">
    <w:abstractNumId w:val="5"/>
  </w:num>
  <w:num w:numId="13">
    <w:abstractNumId w:val="18"/>
  </w:num>
  <w:num w:numId="14">
    <w:abstractNumId w:val="12"/>
  </w:num>
  <w:num w:numId="15">
    <w:abstractNumId w:val="4"/>
  </w:num>
  <w:num w:numId="16">
    <w:abstractNumId w:val="2"/>
  </w:num>
  <w:num w:numId="17">
    <w:abstractNumId w:val="10"/>
  </w:num>
  <w:num w:numId="18">
    <w:abstractNumId w:val="0"/>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DE"/>
    <w:rsid w:val="00055BE5"/>
    <w:rsid w:val="00063053"/>
    <w:rsid w:val="000902B5"/>
    <w:rsid w:val="00097817"/>
    <w:rsid w:val="000C0F5F"/>
    <w:rsid w:val="000D188B"/>
    <w:rsid w:val="000D5480"/>
    <w:rsid w:val="000F5FD6"/>
    <w:rsid w:val="000F7775"/>
    <w:rsid w:val="00121B3A"/>
    <w:rsid w:val="00140F09"/>
    <w:rsid w:val="0015222A"/>
    <w:rsid w:val="00163A61"/>
    <w:rsid w:val="0018281E"/>
    <w:rsid w:val="001859CE"/>
    <w:rsid w:val="00187980"/>
    <w:rsid w:val="00187E8B"/>
    <w:rsid w:val="00195639"/>
    <w:rsid w:val="001C1447"/>
    <w:rsid w:val="001C1C66"/>
    <w:rsid w:val="001C1F53"/>
    <w:rsid w:val="001E4224"/>
    <w:rsid w:val="001F61DB"/>
    <w:rsid w:val="0022201D"/>
    <w:rsid w:val="002458FA"/>
    <w:rsid w:val="00246457"/>
    <w:rsid w:val="002669CB"/>
    <w:rsid w:val="00270410"/>
    <w:rsid w:val="002801FC"/>
    <w:rsid w:val="00297226"/>
    <w:rsid w:val="002B55A2"/>
    <w:rsid w:val="002C04AB"/>
    <w:rsid w:val="002E51B7"/>
    <w:rsid w:val="00313AD7"/>
    <w:rsid w:val="0033437A"/>
    <w:rsid w:val="00372639"/>
    <w:rsid w:val="003A31D1"/>
    <w:rsid w:val="003A7811"/>
    <w:rsid w:val="003B1729"/>
    <w:rsid w:val="003C130F"/>
    <w:rsid w:val="003C5FFF"/>
    <w:rsid w:val="003D7B0D"/>
    <w:rsid w:val="003E5458"/>
    <w:rsid w:val="003F25CE"/>
    <w:rsid w:val="003F674C"/>
    <w:rsid w:val="00403816"/>
    <w:rsid w:val="00404A58"/>
    <w:rsid w:val="004110B0"/>
    <w:rsid w:val="004146B0"/>
    <w:rsid w:val="004447E5"/>
    <w:rsid w:val="00462861"/>
    <w:rsid w:val="00463727"/>
    <w:rsid w:val="00491917"/>
    <w:rsid w:val="004A50E7"/>
    <w:rsid w:val="004B57D3"/>
    <w:rsid w:val="004C0025"/>
    <w:rsid w:val="004C2F3A"/>
    <w:rsid w:val="004C7F41"/>
    <w:rsid w:val="004D2E12"/>
    <w:rsid w:val="004D367B"/>
    <w:rsid w:val="004F12D4"/>
    <w:rsid w:val="004F295D"/>
    <w:rsid w:val="004F42D1"/>
    <w:rsid w:val="004F4E26"/>
    <w:rsid w:val="004F6A66"/>
    <w:rsid w:val="00505AFF"/>
    <w:rsid w:val="0052156A"/>
    <w:rsid w:val="00527DAF"/>
    <w:rsid w:val="00537BB9"/>
    <w:rsid w:val="00540936"/>
    <w:rsid w:val="005519FC"/>
    <w:rsid w:val="00553716"/>
    <w:rsid w:val="00564A96"/>
    <w:rsid w:val="00564C39"/>
    <w:rsid w:val="0056601F"/>
    <w:rsid w:val="00567C0B"/>
    <w:rsid w:val="00584E93"/>
    <w:rsid w:val="005851AE"/>
    <w:rsid w:val="00585E06"/>
    <w:rsid w:val="00586A58"/>
    <w:rsid w:val="0059646B"/>
    <w:rsid w:val="005A0926"/>
    <w:rsid w:val="005A3887"/>
    <w:rsid w:val="005A3AA4"/>
    <w:rsid w:val="005C45A4"/>
    <w:rsid w:val="005D0FA8"/>
    <w:rsid w:val="005D4B62"/>
    <w:rsid w:val="005D5A97"/>
    <w:rsid w:val="005E2F4C"/>
    <w:rsid w:val="005F2FF4"/>
    <w:rsid w:val="005F5F28"/>
    <w:rsid w:val="0060670F"/>
    <w:rsid w:val="006270F5"/>
    <w:rsid w:val="00671B07"/>
    <w:rsid w:val="006765EB"/>
    <w:rsid w:val="00685831"/>
    <w:rsid w:val="00687562"/>
    <w:rsid w:val="00694AB6"/>
    <w:rsid w:val="006C2C2C"/>
    <w:rsid w:val="006C6D48"/>
    <w:rsid w:val="006D704B"/>
    <w:rsid w:val="006E6A3F"/>
    <w:rsid w:val="00706C67"/>
    <w:rsid w:val="00710A81"/>
    <w:rsid w:val="00715081"/>
    <w:rsid w:val="007151B4"/>
    <w:rsid w:val="00734D41"/>
    <w:rsid w:val="00735B7A"/>
    <w:rsid w:val="00760A27"/>
    <w:rsid w:val="007717DB"/>
    <w:rsid w:val="00793FCB"/>
    <w:rsid w:val="0079596F"/>
    <w:rsid w:val="007A1CBD"/>
    <w:rsid w:val="007B40AC"/>
    <w:rsid w:val="007C22AC"/>
    <w:rsid w:val="007D04EE"/>
    <w:rsid w:val="007D1D88"/>
    <w:rsid w:val="007D1FCD"/>
    <w:rsid w:val="007D25CD"/>
    <w:rsid w:val="007D48E0"/>
    <w:rsid w:val="007F465A"/>
    <w:rsid w:val="008032E4"/>
    <w:rsid w:val="00807FBB"/>
    <w:rsid w:val="0081202D"/>
    <w:rsid w:val="008240FD"/>
    <w:rsid w:val="008242A8"/>
    <w:rsid w:val="00826944"/>
    <w:rsid w:val="00843E79"/>
    <w:rsid w:val="00864F2B"/>
    <w:rsid w:val="008A213C"/>
    <w:rsid w:val="008A267B"/>
    <w:rsid w:val="008A5AE5"/>
    <w:rsid w:val="008B0F3D"/>
    <w:rsid w:val="008C1342"/>
    <w:rsid w:val="008C1746"/>
    <w:rsid w:val="008D15E8"/>
    <w:rsid w:val="008D1FA6"/>
    <w:rsid w:val="008E56AF"/>
    <w:rsid w:val="008F2181"/>
    <w:rsid w:val="008F6F8D"/>
    <w:rsid w:val="00940DAF"/>
    <w:rsid w:val="009521BA"/>
    <w:rsid w:val="00960F11"/>
    <w:rsid w:val="009629CA"/>
    <w:rsid w:val="00973B84"/>
    <w:rsid w:val="009746A4"/>
    <w:rsid w:val="00981D07"/>
    <w:rsid w:val="00982201"/>
    <w:rsid w:val="009B5545"/>
    <w:rsid w:val="009C6D8F"/>
    <w:rsid w:val="009D0324"/>
    <w:rsid w:val="009D355F"/>
    <w:rsid w:val="009F118B"/>
    <w:rsid w:val="009F55DE"/>
    <w:rsid w:val="00A04599"/>
    <w:rsid w:val="00A32EB6"/>
    <w:rsid w:val="00A40504"/>
    <w:rsid w:val="00A42AD1"/>
    <w:rsid w:val="00A4338B"/>
    <w:rsid w:val="00A44F71"/>
    <w:rsid w:val="00A56BFA"/>
    <w:rsid w:val="00A61351"/>
    <w:rsid w:val="00A70074"/>
    <w:rsid w:val="00A74411"/>
    <w:rsid w:val="00A8083C"/>
    <w:rsid w:val="00A91F7C"/>
    <w:rsid w:val="00A92727"/>
    <w:rsid w:val="00AD56DE"/>
    <w:rsid w:val="00B00237"/>
    <w:rsid w:val="00B13493"/>
    <w:rsid w:val="00B2338B"/>
    <w:rsid w:val="00B23F9B"/>
    <w:rsid w:val="00B2771A"/>
    <w:rsid w:val="00B30C6E"/>
    <w:rsid w:val="00B3316B"/>
    <w:rsid w:val="00B469B4"/>
    <w:rsid w:val="00B54747"/>
    <w:rsid w:val="00B563F5"/>
    <w:rsid w:val="00B60430"/>
    <w:rsid w:val="00B60CBD"/>
    <w:rsid w:val="00B64A57"/>
    <w:rsid w:val="00B845B5"/>
    <w:rsid w:val="00B906B0"/>
    <w:rsid w:val="00B90EE2"/>
    <w:rsid w:val="00B92609"/>
    <w:rsid w:val="00BA0137"/>
    <w:rsid w:val="00BC421E"/>
    <w:rsid w:val="00C00357"/>
    <w:rsid w:val="00C31CB6"/>
    <w:rsid w:val="00C63CB3"/>
    <w:rsid w:val="00C668B1"/>
    <w:rsid w:val="00C67585"/>
    <w:rsid w:val="00C7094F"/>
    <w:rsid w:val="00C77508"/>
    <w:rsid w:val="00C96708"/>
    <w:rsid w:val="00CA1DF7"/>
    <w:rsid w:val="00CA2871"/>
    <w:rsid w:val="00CC5627"/>
    <w:rsid w:val="00CF1E29"/>
    <w:rsid w:val="00CF72E3"/>
    <w:rsid w:val="00D031F9"/>
    <w:rsid w:val="00D30FD7"/>
    <w:rsid w:val="00D4699C"/>
    <w:rsid w:val="00D61871"/>
    <w:rsid w:val="00D71151"/>
    <w:rsid w:val="00D84966"/>
    <w:rsid w:val="00D8618D"/>
    <w:rsid w:val="00D9166B"/>
    <w:rsid w:val="00D934F6"/>
    <w:rsid w:val="00DD7A99"/>
    <w:rsid w:val="00DE0D4A"/>
    <w:rsid w:val="00DE731B"/>
    <w:rsid w:val="00DF0BB7"/>
    <w:rsid w:val="00DF4E28"/>
    <w:rsid w:val="00E06263"/>
    <w:rsid w:val="00E22E7D"/>
    <w:rsid w:val="00E25CD0"/>
    <w:rsid w:val="00E45280"/>
    <w:rsid w:val="00E4596C"/>
    <w:rsid w:val="00E515F2"/>
    <w:rsid w:val="00E519FD"/>
    <w:rsid w:val="00E54832"/>
    <w:rsid w:val="00E669B2"/>
    <w:rsid w:val="00E75325"/>
    <w:rsid w:val="00E90C0E"/>
    <w:rsid w:val="00EA1EBF"/>
    <w:rsid w:val="00EA2A2D"/>
    <w:rsid w:val="00EA372E"/>
    <w:rsid w:val="00ED3FCF"/>
    <w:rsid w:val="00ED5B22"/>
    <w:rsid w:val="00EE106B"/>
    <w:rsid w:val="00EE1CC0"/>
    <w:rsid w:val="00F0225F"/>
    <w:rsid w:val="00F10DD1"/>
    <w:rsid w:val="00F219C9"/>
    <w:rsid w:val="00F3733B"/>
    <w:rsid w:val="00F4660E"/>
    <w:rsid w:val="00F552EB"/>
    <w:rsid w:val="00F70844"/>
    <w:rsid w:val="00F73624"/>
    <w:rsid w:val="00F74A9A"/>
    <w:rsid w:val="00F76BF1"/>
    <w:rsid w:val="00FB630C"/>
    <w:rsid w:val="00FD2846"/>
    <w:rsid w:val="00FE0BD6"/>
    <w:rsid w:val="00FE4453"/>
    <w:rsid w:val="00FE44C0"/>
    <w:rsid w:val="00FF26B4"/>
    <w:rsid w:val="00FF7D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B777B4-F308-42A3-910F-3A3B2A2B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4A"/>
    <w:pPr>
      <w:spacing w:after="200" w:line="276" w:lineRule="auto"/>
    </w:pPr>
    <w:rPr>
      <w:lang w:val="en-US"/>
    </w:rPr>
  </w:style>
  <w:style w:type="paragraph" w:styleId="Heading1">
    <w:name w:val="heading 1"/>
    <w:basedOn w:val="Normal"/>
    <w:next w:val="Normal"/>
    <w:link w:val="Heading1Char"/>
    <w:qFormat/>
    <w:rsid w:val="00187E8B"/>
    <w:pPr>
      <w:keepNext/>
      <w:spacing w:after="0" w:line="240" w:lineRule="auto"/>
      <w:outlineLvl w:val="0"/>
    </w:pPr>
    <w:rPr>
      <w:rFonts w:ascii="Times New Roman" w:eastAsia="Times New Roman" w:hAnsi="Times New Roman" w:cs="Times New Roman"/>
      <w:b/>
      <w:bCs/>
      <w:noProof/>
      <w:sz w:val="24"/>
      <w:szCs w:val="46"/>
      <w:lang w:val="en-ZA"/>
    </w:rPr>
  </w:style>
  <w:style w:type="paragraph" w:styleId="Heading2">
    <w:name w:val="heading 2"/>
    <w:basedOn w:val="Normal"/>
    <w:next w:val="Normal"/>
    <w:link w:val="Heading2Char"/>
    <w:uiPriority w:val="9"/>
    <w:unhideWhenUsed/>
    <w:qFormat/>
    <w:rsid w:val="00B60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E8B"/>
    <w:rPr>
      <w:rFonts w:ascii="Times New Roman" w:eastAsia="Times New Roman" w:hAnsi="Times New Roman" w:cs="Times New Roman"/>
      <w:b/>
      <w:bCs/>
      <w:noProof/>
      <w:sz w:val="24"/>
      <w:szCs w:val="46"/>
    </w:rPr>
  </w:style>
  <w:style w:type="paragraph" w:styleId="ListParagraph">
    <w:name w:val="List Paragraph"/>
    <w:basedOn w:val="Normal"/>
    <w:uiPriority w:val="34"/>
    <w:qFormat/>
    <w:rsid w:val="001859CE"/>
    <w:pPr>
      <w:ind w:left="720"/>
      <w:contextualSpacing/>
    </w:pPr>
  </w:style>
  <w:style w:type="paragraph" w:styleId="Header">
    <w:name w:val="header"/>
    <w:basedOn w:val="Normal"/>
    <w:link w:val="HeaderChar"/>
    <w:uiPriority w:val="99"/>
    <w:unhideWhenUsed/>
    <w:rsid w:val="00807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BB"/>
    <w:rPr>
      <w:lang w:val="en-US"/>
    </w:rPr>
  </w:style>
  <w:style w:type="paragraph" w:styleId="Footer">
    <w:name w:val="footer"/>
    <w:basedOn w:val="Normal"/>
    <w:link w:val="FooterChar"/>
    <w:uiPriority w:val="99"/>
    <w:unhideWhenUsed/>
    <w:rsid w:val="0080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BB"/>
    <w:rPr>
      <w:lang w:val="en-US"/>
    </w:rPr>
  </w:style>
  <w:style w:type="paragraph" w:styleId="BalloonText">
    <w:name w:val="Balloon Text"/>
    <w:basedOn w:val="Normal"/>
    <w:link w:val="BalloonTextChar"/>
    <w:uiPriority w:val="99"/>
    <w:semiHidden/>
    <w:unhideWhenUsed/>
    <w:rsid w:val="001C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53"/>
    <w:rPr>
      <w:rFonts w:ascii="Segoe UI" w:hAnsi="Segoe UI" w:cs="Segoe UI"/>
      <w:sz w:val="18"/>
      <w:szCs w:val="18"/>
      <w:lang w:val="en-US"/>
    </w:rPr>
  </w:style>
  <w:style w:type="table" w:styleId="TableGrid">
    <w:name w:val="Table Grid"/>
    <w:basedOn w:val="TableNormal"/>
    <w:uiPriority w:val="39"/>
    <w:rsid w:val="00A4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5B7A"/>
    <w:pPr>
      <w:keepLines/>
      <w:spacing w:before="240" w:line="259" w:lineRule="auto"/>
      <w:outlineLvl w:val="9"/>
    </w:pPr>
    <w:rPr>
      <w:rFonts w:asciiTheme="majorHAnsi" w:eastAsiaTheme="majorEastAsia" w:hAnsiTheme="majorHAnsi" w:cstheme="majorBidi"/>
      <w:b w:val="0"/>
      <w:bCs w:val="0"/>
      <w:noProof w:val="0"/>
      <w:color w:val="2E74B5" w:themeColor="accent1" w:themeShade="BF"/>
      <w:sz w:val="32"/>
      <w:szCs w:val="32"/>
      <w:lang w:val="en-US"/>
    </w:rPr>
  </w:style>
  <w:style w:type="paragraph" w:styleId="TOC1">
    <w:name w:val="toc 1"/>
    <w:basedOn w:val="Normal"/>
    <w:next w:val="Normal"/>
    <w:autoRedefine/>
    <w:uiPriority w:val="39"/>
    <w:unhideWhenUsed/>
    <w:rsid w:val="00735B7A"/>
    <w:pPr>
      <w:tabs>
        <w:tab w:val="left" w:pos="0"/>
        <w:tab w:val="right" w:leader="dot" w:pos="9465"/>
      </w:tabs>
      <w:spacing w:after="100"/>
      <w:ind w:left="-567"/>
    </w:pPr>
  </w:style>
  <w:style w:type="character" w:styleId="Hyperlink">
    <w:name w:val="Hyperlink"/>
    <w:basedOn w:val="DefaultParagraphFont"/>
    <w:uiPriority w:val="99"/>
    <w:unhideWhenUsed/>
    <w:rsid w:val="00735B7A"/>
    <w:rPr>
      <w:color w:val="0563C1" w:themeColor="hyperlink"/>
      <w:u w:val="single"/>
    </w:rPr>
  </w:style>
  <w:style w:type="character" w:customStyle="1" w:styleId="Heading2Char">
    <w:name w:val="Heading 2 Char"/>
    <w:basedOn w:val="DefaultParagraphFont"/>
    <w:link w:val="Heading2"/>
    <w:uiPriority w:val="9"/>
    <w:rsid w:val="00B60430"/>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0C0F5F"/>
    <w:pPr>
      <w:spacing w:after="100"/>
      <w:ind w:left="220"/>
    </w:pPr>
  </w:style>
  <w:style w:type="paragraph" w:styleId="TOC3">
    <w:name w:val="toc 3"/>
    <w:basedOn w:val="Normal"/>
    <w:next w:val="Normal"/>
    <w:autoRedefine/>
    <w:uiPriority w:val="39"/>
    <w:unhideWhenUsed/>
    <w:rsid w:val="004F42D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2334">
      <w:bodyDiv w:val="1"/>
      <w:marLeft w:val="0"/>
      <w:marRight w:val="0"/>
      <w:marTop w:val="0"/>
      <w:marBottom w:val="0"/>
      <w:divBdr>
        <w:top w:val="none" w:sz="0" w:space="0" w:color="auto"/>
        <w:left w:val="none" w:sz="0" w:space="0" w:color="auto"/>
        <w:bottom w:val="none" w:sz="0" w:space="0" w:color="auto"/>
        <w:right w:val="none" w:sz="0" w:space="0" w:color="auto"/>
      </w:divBdr>
    </w:div>
    <w:div w:id="542448020">
      <w:bodyDiv w:val="1"/>
      <w:marLeft w:val="0"/>
      <w:marRight w:val="0"/>
      <w:marTop w:val="0"/>
      <w:marBottom w:val="0"/>
      <w:divBdr>
        <w:top w:val="none" w:sz="0" w:space="0" w:color="auto"/>
        <w:left w:val="none" w:sz="0" w:space="0" w:color="auto"/>
        <w:bottom w:val="none" w:sz="0" w:space="0" w:color="auto"/>
        <w:right w:val="none" w:sz="0" w:space="0" w:color="auto"/>
      </w:divBdr>
    </w:div>
    <w:div w:id="947195491">
      <w:bodyDiv w:val="1"/>
      <w:marLeft w:val="0"/>
      <w:marRight w:val="0"/>
      <w:marTop w:val="0"/>
      <w:marBottom w:val="0"/>
      <w:divBdr>
        <w:top w:val="none" w:sz="0" w:space="0" w:color="auto"/>
        <w:left w:val="none" w:sz="0" w:space="0" w:color="auto"/>
        <w:bottom w:val="none" w:sz="0" w:space="0" w:color="auto"/>
        <w:right w:val="none" w:sz="0" w:space="0" w:color="auto"/>
      </w:divBdr>
    </w:div>
    <w:div w:id="1232958873">
      <w:bodyDiv w:val="1"/>
      <w:marLeft w:val="0"/>
      <w:marRight w:val="0"/>
      <w:marTop w:val="0"/>
      <w:marBottom w:val="0"/>
      <w:divBdr>
        <w:top w:val="none" w:sz="0" w:space="0" w:color="auto"/>
        <w:left w:val="none" w:sz="0" w:space="0" w:color="auto"/>
        <w:bottom w:val="none" w:sz="0" w:space="0" w:color="auto"/>
        <w:right w:val="none" w:sz="0" w:space="0" w:color="auto"/>
      </w:divBdr>
    </w:div>
    <w:div w:id="1301762085">
      <w:bodyDiv w:val="1"/>
      <w:marLeft w:val="0"/>
      <w:marRight w:val="0"/>
      <w:marTop w:val="0"/>
      <w:marBottom w:val="0"/>
      <w:divBdr>
        <w:top w:val="none" w:sz="0" w:space="0" w:color="auto"/>
        <w:left w:val="none" w:sz="0" w:space="0" w:color="auto"/>
        <w:bottom w:val="none" w:sz="0" w:space="0" w:color="auto"/>
        <w:right w:val="none" w:sz="0" w:space="0" w:color="auto"/>
      </w:divBdr>
    </w:div>
    <w:div w:id="1520393601">
      <w:bodyDiv w:val="1"/>
      <w:marLeft w:val="0"/>
      <w:marRight w:val="0"/>
      <w:marTop w:val="0"/>
      <w:marBottom w:val="0"/>
      <w:divBdr>
        <w:top w:val="none" w:sz="0" w:space="0" w:color="auto"/>
        <w:left w:val="none" w:sz="0" w:space="0" w:color="auto"/>
        <w:bottom w:val="none" w:sz="0" w:space="0" w:color="auto"/>
        <w:right w:val="none" w:sz="0" w:space="0" w:color="auto"/>
      </w:divBdr>
    </w:div>
    <w:div w:id="1523781618">
      <w:bodyDiv w:val="1"/>
      <w:marLeft w:val="0"/>
      <w:marRight w:val="0"/>
      <w:marTop w:val="0"/>
      <w:marBottom w:val="0"/>
      <w:divBdr>
        <w:top w:val="none" w:sz="0" w:space="0" w:color="auto"/>
        <w:left w:val="none" w:sz="0" w:space="0" w:color="auto"/>
        <w:bottom w:val="none" w:sz="0" w:space="0" w:color="auto"/>
        <w:right w:val="none" w:sz="0" w:space="0" w:color="auto"/>
      </w:divBdr>
    </w:div>
    <w:div w:id="1898710181">
      <w:bodyDiv w:val="1"/>
      <w:marLeft w:val="0"/>
      <w:marRight w:val="0"/>
      <w:marTop w:val="0"/>
      <w:marBottom w:val="0"/>
      <w:divBdr>
        <w:top w:val="none" w:sz="0" w:space="0" w:color="auto"/>
        <w:left w:val="none" w:sz="0" w:space="0" w:color="auto"/>
        <w:bottom w:val="none" w:sz="0" w:space="0" w:color="auto"/>
        <w:right w:val="none" w:sz="0" w:space="0" w:color="auto"/>
      </w:divBdr>
    </w:div>
    <w:div w:id="1899824291">
      <w:bodyDiv w:val="1"/>
      <w:marLeft w:val="0"/>
      <w:marRight w:val="0"/>
      <w:marTop w:val="0"/>
      <w:marBottom w:val="0"/>
      <w:divBdr>
        <w:top w:val="none" w:sz="0" w:space="0" w:color="auto"/>
        <w:left w:val="none" w:sz="0" w:space="0" w:color="auto"/>
        <w:bottom w:val="none" w:sz="0" w:space="0" w:color="auto"/>
        <w:right w:val="none" w:sz="0" w:space="0" w:color="auto"/>
      </w:divBdr>
    </w:div>
    <w:div w:id="19278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7714-12CF-4065-A3AE-A897530D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Chris Hani Development Agency</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Flicker Tiso</dc:creator>
  <cp:keywords/>
  <dc:description/>
  <cp:lastModifiedBy>Flicker Tiso</cp:lastModifiedBy>
  <cp:revision>25</cp:revision>
  <cp:lastPrinted>2017-04-12T09:56:00Z</cp:lastPrinted>
  <dcterms:created xsi:type="dcterms:W3CDTF">2017-10-14T09:49:00Z</dcterms:created>
  <dcterms:modified xsi:type="dcterms:W3CDTF">2018-01-12T18:35:00Z</dcterms:modified>
</cp:coreProperties>
</file>